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2DDA2" w14:textId="1EEDFF74" w:rsidR="001B32A6" w:rsidRDefault="00B47AE7">
      <w:pPr>
        <w:jc w:val="center"/>
      </w:pPr>
      <w:r w:rsidRPr="00B47AE7">
        <w:rPr>
          <w:rFonts w:ascii="Calibri" w:hAnsi="Calibri"/>
          <w:b/>
          <w:color w:val="47D492"/>
          <w:sz w:val="28"/>
          <w:szCs w:val="28"/>
        </w:rPr>
        <w:t>TOOL:</w:t>
      </w:r>
      <w:r>
        <w:rPr>
          <w:rFonts w:ascii="Calibri" w:hAnsi="Calibri"/>
          <w:b/>
          <w:color w:val="47D492"/>
          <w:sz w:val="28"/>
          <w:szCs w:val="28"/>
        </w:rPr>
        <w:t xml:space="preserve"> Strategies and Resources to Support Central Office Expertise</w:t>
      </w:r>
      <w:r w:rsidRPr="00B47AE7">
        <w:rPr>
          <w:rFonts w:ascii="Calibri" w:hAnsi="Calibri"/>
          <w:b/>
          <w:color w:val="47D492"/>
          <w:sz w:val="28"/>
          <w:szCs w:val="28"/>
        </w:rPr>
        <w:t xml:space="preserve"> </w:t>
      </w:r>
    </w:p>
    <w:p w14:paraId="1E6D6CC4" w14:textId="77777777" w:rsidR="001B32A6" w:rsidRDefault="001B32A6">
      <w:pPr>
        <w:rPr>
          <w:color w:val="676563"/>
          <w:sz w:val="24"/>
          <w:szCs w:val="24"/>
        </w:rPr>
      </w:pPr>
    </w:p>
    <w:tbl>
      <w:tblPr>
        <w:tblStyle w:val="a"/>
        <w:tblW w:w="13500" w:type="dxa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5400"/>
        <w:gridCol w:w="4770"/>
      </w:tblGrid>
      <w:tr w:rsidR="001B32A6" w:rsidRPr="00611A18" w14:paraId="33904D68" w14:textId="77777777" w:rsidTr="00020A28">
        <w:tc>
          <w:tcPr>
            <w:tcW w:w="3330" w:type="dxa"/>
            <w:shd w:val="clear" w:color="auto" w:fill="008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257AB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FFFFFF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Learning Strategy</w:t>
            </w:r>
          </w:p>
        </w:tc>
        <w:tc>
          <w:tcPr>
            <w:tcW w:w="5400" w:type="dxa"/>
            <w:shd w:val="clear" w:color="auto" w:fill="008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A2B5C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FFFFFF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Characteristics</w:t>
            </w:r>
          </w:p>
        </w:tc>
        <w:tc>
          <w:tcPr>
            <w:tcW w:w="4770" w:type="dxa"/>
            <w:shd w:val="clear" w:color="auto" w:fill="008D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6C5F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FFFFFF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b/>
                <w:color w:val="FFFFFF"/>
                <w:sz w:val="24"/>
                <w:szCs w:val="24"/>
              </w:rPr>
              <w:t>Resources</w:t>
            </w:r>
          </w:p>
        </w:tc>
      </w:tr>
      <w:tr w:rsidR="001B32A6" w:rsidRPr="00611A18" w14:paraId="41C10022" w14:textId="77777777" w:rsidTr="00020A28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60E7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Professional Learning Community (PLC)</w:t>
            </w:r>
          </w:p>
          <w:p w14:paraId="23F05AC2" w14:textId="77777777" w:rsidR="001B32A6" w:rsidRPr="00611A18" w:rsidRDefault="001B32A6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56D679F9" w14:textId="77777777" w:rsidR="001B32A6" w:rsidRPr="00611A18" w:rsidRDefault="00EC673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Keep SEL foremost in the minds of people who can carry their engagement and enthusiasm back to their departments.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239D1" w14:textId="77777777" w:rsidR="001B32A6" w:rsidRPr="00611A18" w:rsidRDefault="00EC673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 PLC is a group that meets regularly to share expertise and collaborate to improve outcomes for students.  At the district level, an SEL-focu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sed PLC could take the shape of:</w:t>
            </w:r>
          </w:p>
          <w:p w14:paraId="3F410A80" w14:textId="77777777" w:rsidR="001B32A6" w:rsidRPr="00611A18" w:rsidRDefault="00EC673A">
            <w:pPr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Study groups in which staff read and discuss SEL-related articles or books</w:t>
            </w:r>
          </w:p>
          <w:p w14:paraId="3D3CA8D7" w14:textId="77777777" w:rsidR="001B32A6" w:rsidRPr="00611A18" w:rsidRDefault="00EC673A">
            <w:pPr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Action research teams that study SEL topics and determine further action steps based on findings</w:t>
            </w:r>
          </w:p>
          <w:p w14:paraId="5B261FDD" w14:textId="77777777" w:rsidR="001B32A6" w:rsidRPr="00611A18" w:rsidRDefault="00EC673A">
            <w:pPr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Conversation circles that include all members’ voic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es on an SEL topic</w:t>
            </w:r>
          </w:p>
          <w:p w14:paraId="60A1405E" w14:textId="77777777" w:rsidR="001B32A6" w:rsidRPr="00611A18" w:rsidRDefault="00EC673A">
            <w:pPr>
              <w:numPr>
                <w:ilvl w:val="0"/>
                <w:numId w:val="2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Online communication through discussion forums, conference calls, or video conferencing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F433F" w14:textId="324B53B3" w:rsidR="001B32A6" w:rsidRPr="00611A18" w:rsidRDefault="00EC673A">
            <w:pPr>
              <w:rPr>
                <w:rFonts w:asciiTheme="majorHAnsi" w:hAnsiTheme="majorHAnsi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676563"/>
                <w:sz w:val="24"/>
                <w:szCs w:val="24"/>
              </w:rPr>
              <w:t xml:space="preserve">Edutopia’s </w:t>
            </w:r>
            <w:hyperlink r:id="rId7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How to Create a Professional Learnin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g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 Community</w:t>
              </w:r>
            </w:hyperlink>
          </w:p>
          <w:p w14:paraId="21338D59" w14:textId="77777777" w:rsidR="001B32A6" w:rsidRPr="00611A18" w:rsidRDefault="001B32A6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1C2516B" w14:textId="77777777" w:rsidR="001B32A6" w:rsidRPr="00611A18" w:rsidRDefault="00EC673A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sz w:val="24"/>
                <w:szCs w:val="24"/>
              </w:rPr>
              <w:t>Sacramento City’s</w:t>
            </w:r>
            <w:r w:rsidRPr="00611A18">
              <w:rPr>
                <w:rFonts w:asciiTheme="majorHAnsi" w:hAnsiTheme="majorHAnsi"/>
                <w:color w:val="008DE8"/>
                <w:sz w:val="24"/>
                <w:szCs w:val="24"/>
              </w:rPr>
              <w:t xml:space="preserve"> </w:t>
            </w:r>
            <w:hyperlink r:id="rId8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Cent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r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al Office SEL Professional Learning Co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m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munity description</w:t>
              </w:r>
            </w:hyperlink>
            <w:r w:rsidRPr="00611A18">
              <w:rPr>
                <w:rFonts w:asciiTheme="majorHAnsi" w:hAnsiTheme="majorHAnsi"/>
                <w:sz w:val="24"/>
                <w:szCs w:val="24"/>
              </w:rPr>
              <w:t xml:space="preserve"> and</w:t>
            </w:r>
            <w:r w:rsidRPr="00611A18">
              <w:rPr>
                <w:rFonts w:asciiTheme="majorHAnsi" w:hAnsiTheme="majorHAnsi"/>
                <w:color w:val="008DE8"/>
                <w:sz w:val="24"/>
                <w:szCs w:val="24"/>
              </w:rPr>
              <w:t xml:space="preserve"> </w:t>
            </w:r>
            <w:hyperlink r:id="rId9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Save The D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a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te</w:t>
              </w:r>
            </w:hyperlink>
          </w:p>
          <w:p w14:paraId="26BA57A8" w14:textId="77777777" w:rsidR="001B32A6" w:rsidRPr="00611A18" w:rsidRDefault="001B32A6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55C17D14" w14:textId="6CCB1030" w:rsidR="001B32A6" w:rsidRPr="00611A18" w:rsidRDefault="00EC673A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10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Edutopia's How L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e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arning Happens Video Series</w:t>
              </w:r>
            </w:hyperlink>
          </w:p>
          <w:p w14:paraId="7AE8592E" w14:textId="77777777" w:rsidR="001B32A6" w:rsidRPr="00611A18" w:rsidRDefault="001B32A6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3EB22FA6" w14:textId="38638124" w:rsidR="001B32A6" w:rsidRPr="00611A18" w:rsidRDefault="00EC673A">
            <w:pPr>
              <w:pBdr>
                <w:left w:val="nil"/>
              </w:pBdr>
              <w:rPr>
                <w:rFonts w:asciiTheme="majorHAnsi" w:hAnsiTheme="majorHAnsi"/>
                <w:sz w:val="24"/>
                <w:szCs w:val="24"/>
              </w:rPr>
            </w:pPr>
            <w:hyperlink r:id="rId11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This Time, With Feeling: Integrating Social and Emotional Deve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l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o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p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ment and College and Career Readiness Standards</w:t>
              </w:r>
            </w:hyperlink>
          </w:p>
          <w:p w14:paraId="54DAC98C" w14:textId="77777777" w:rsidR="001B32A6" w:rsidRPr="00611A18" w:rsidRDefault="001B32A6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6872DC52" w14:textId="020AD8B6" w:rsidR="001B32A6" w:rsidRPr="00611A18" w:rsidRDefault="00EC673A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12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Social-Emotional Competence: An Essential Factor for Pro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m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oting Pos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i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tive Adjustment and Reducing Risk in School Children</w:t>
              </w:r>
            </w:hyperlink>
          </w:p>
          <w:p w14:paraId="197B152D" w14:textId="77777777" w:rsidR="001B32A6" w:rsidRPr="00611A18" w:rsidRDefault="001B32A6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21E81B98" w14:textId="033FD1B5" w:rsidR="001B32A6" w:rsidRPr="00611A18" w:rsidRDefault="00EC673A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13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Students with Strong Social Skills in Kindergarten More 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L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ikely </w:t>
              </w:r>
              <w:proofErr w:type="gramStart"/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To</w:t>
              </w:r>
              <w:proofErr w:type="gramEnd"/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 Thrive As Adults</w:t>
              </w:r>
            </w:hyperlink>
          </w:p>
          <w:p w14:paraId="60774B31" w14:textId="77777777" w:rsidR="001B32A6" w:rsidRPr="00611A18" w:rsidRDefault="001B32A6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38341972" w14:textId="74B0DED4" w:rsidR="001B32A6" w:rsidRPr="00611A18" w:rsidRDefault="00AF140E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14" w:history="1">
              <w:r w:rsidRPr="00611A18">
                <w:rPr>
                  <w:rStyle w:val="Hyperlink"/>
                  <w:rFonts w:asciiTheme="majorHAnsi" w:hAnsiTheme="majorHAnsi"/>
                  <w:color w:val="0070C0"/>
                  <w:sz w:val="24"/>
                  <w:szCs w:val="24"/>
                  <w:u w:val="none"/>
                </w:rPr>
                <w:t>Pursuing Social and Emotional Development Through a Racial Equity Lens: 5 Strategies for System Leaders to Take Action</w:t>
              </w:r>
            </w:hyperlink>
          </w:p>
        </w:tc>
      </w:tr>
      <w:tr w:rsidR="001B32A6" w:rsidRPr="00611A18" w14:paraId="478B3F5C" w14:textId="77777777" w:rsidTr="00020A28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EA66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lastRenderedPageBreak/>
              <w:t>Integrate into existing meeting structures</w:t>
            </w:r>
          </w:p>
          <w:p w14:paraId="36E320EC" w14:textId="77777777" w:rsidR="001B32A6" w:rsidRPr="00611A18" w:rsidRDefault="001B32A6">
            <w:pPr>
              <w:widowControl w:val="0"/>
              <w:spacing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4272DDB8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Take advantage of cross-department meetings, all-staff professional learning days, orientations/ onboarding of new staff, “brown bag lunches”, or other events that are already on the district calendar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A978" w14:textId="77777777" w:rsidR="001B32A6" w:rsidRPr="00611A18" w:rsidRDefault="00EC673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When integr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ating SEL content within existing meetings, you may not have sufficient time for an in-depth exploration of SEL or the flexibility to engage in discussion or practice activities.  However, by mapping out the places where district leaders and key stakeholde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rs come together over the course of the year, you can be sure to provide basic SEL knowledge and mindsets to a wide audience.  Consider planning general, brief presentations focused on SEL topics such as:</w:t>
            </w:r>
          </w:p>
          <w:p w14:paraId="53624153" w14:textId="77777777" w:rsidR="001B32A6" w:rsidRPr="00611A18" w:rsidRDefault="00EC673A">
            <w:pPr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CASEL’s framework of the 5 core SEL competencies</w:t>
            </w:r>
          </w:p>
          <w:p w14:paraId="7B70FA18" w14:textId="77777777" w:rsidR="001B32A6" w:rsidRPr="00611A18" w:rsidRDefault="00EC673A">
            <w:pPr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Re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search on the positive impacts of SEL, and evidence of the impact it is having in your district</w:t>
            </w:r>
          </w:p>
          <w:p w14:paraId="38376EF8" w14:textId="77777777" w:rsidR="001B32A6" w:rsidRPr="00611A18" w:rsidRDefault="00EC673A">
            <w:pPr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Examination of cultural biases</w:t>
            </w:r>
          </w:p>
          <w:p w14:paraId="41A8EA7F" w14:textId="77777777" w:rsidR="001B32A6" w:rsidRPr="00611A18" w:rsidRDefault="00EC673A">
            <w:pPr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Demonstration of a restorative conversation</w:t>
            </w:r>
          </w:p>
          <w:p w14:paraId="0838F224" w14:textId="77777777" w:rsidR="001B32A6" w:rsidRPr="00611A18" w:rsidRDefault="00EC673A">
            <w:pPr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Strategies for self-care and stress management</w:t>
            </w:r>
          </w:p>
          <w:p w14:paraId="0BAE070E" w14:textId="77777777" w:rsidR="001B32A6" w:rsidRPr="00611A18" w:rsidRDefault="00EC673A">
            <w:pPr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Techniques to foster effective communi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cation</w:t>
            </w:r>
          </w:p>
          <w:p w14:paraId="2E514B80" w14:textId="77777777" w:rsidR="001B32A6" w:rsidRPr="00611A18" w:rsidRDefault="00EC673A">
            <w:pPr>
              <w:numPr>
                <w:ilvl w:val="0"/>
                <w:numId w:val="1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Ways to integrate SEL into meetings, professional learning, and time with students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A35CD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color w:val="676563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676563"/>
                <w:sz w:val="24"/>
                <w:szCs w:val="24"/>
              </w:rPr>
              <w:t xml:space="preserve">El Paso’s </w:t>
            </w:r>
            <w:hyperlink r:id="rId15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SEL exp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e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rtise 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development plan</w:t>
              </w:r>
            </w:hyperlink>
          </w:p>
          <w:p w14:paraId="0B7F048B" w14:textId="77777777" w:rsidR="001B32A6" w:rsidRPr="00611A18" w:rsidRDefault="001B32A6">
            <w:pPr>
              <w:widowControl w:val="0"/>
              <w:spacing w:line="240" w:lineRule="auto"/>
              <w:rPr>
                <w:rFonts w:asciiTheme="majorHAnsi" w:hAnsiTheme="majorHAnsi"/>
                <w:color w:val="676563"/>
                <w:sz w:val="24"/>
                <w:szCs w:val="24"/>
              </w:rPr>
            </w:pPr>
          </w:p>
          <w:p w14:paraId="22DE00C5" w14:textId="2EBC514C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color w:val="676563"/>
                <w:sz w:val="24"/>
                <w:szCs w:val="24"/>
              </w:rPr>
            </w:pPr>
            <w:hyperlink r:id="rId16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The Cas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e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 for SEL </w:t>
              </w:r>
              <w:proofErr w:type="spellStart"/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Powerpoint</w:t>
              </w:r>
              <w:proofErr w:type="spellEnd"/>
            </w:hyperlink>
          </w:p>
          <w:p w14:paraId="39D048DA" w14:textId="77777777" w:rsidR="001B32A6" w:rsidRPr="00611A18" w:rsidRDefault="001B32A6">
            <w:pPr>
              <w:widowControl w:val="0"/>
              <w:spacing w:line="240" w:lineRule="auto"/>
              <w:rPr>
                <w:rFonts w:asciiTheme="majorHAnsi" w:hAnsiTheme="majorHAnsi"/>
                <w:color w:val="676563"/>
                <w:sz w:val="24"/>
                <w:szCs w:val="24"/>
              </w:rPr>
            </w:pPr>
          </w:p>
          <w:p w14:paraId="0687B162" w14:textId="77777777" w:rsidR="001B32A6" w:rsidRPr="00611A18" w:rsidRDefault="00EC673A">
            <w:pPr>
              <w:rPr>
                <w:rFonts w:asciiTheme="majorHAnsi" w:hAnsiTheme="majorHAnsi"/>
                <w:color w:val="676563"/>
                <w:sz w:val="24"/>
                <w:szCs w:val="24"/>
              </w:rPr>
            </w:pPr>
            <w:hyperlink r:id="rId17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Personal Assessment and Refle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c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tion Tool</w:t>
              </w:r>
            </w:hyperlink>
          </w:p>
          <w:p w14:paraId="1EACBC71" w14:textId="77777777" w:rsidR="001B32A6" w:rsidRPr="00611A18" w:rsidRDefault="001B32A6">
            <w:pPr>
              <w:rPr>
                <w:rFonts w:asciiTheme="majorHAnsi" w:hAnsiTheme="majorHAnsi"/>
                <w:color w:val="676563"/>
                <w:sz w:val="24"/>
                <w:szCs w:val="24"/>
              </w:rPr>
            </w:pPr>
          </w:p>
          <w:p w14:paraId="63C60B99" w14:textId="3EF4B550" w:rsidR="001B32A6" w:rsidRPr="00611A18" w:rsidRDefault="00EC673A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18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CDI SEL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 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Message Map</w:t>
              </w:r>
            </w:hyperlink>
          </w:p>
          <w:p w14:paraId="5852EAE9" w14:textId="77777777" w:rsidR="001B32A6" w:rsidRPr="00611A18" w:rsidRDefault="001B32A6">
            <w:pPr>
              <w:rPr>
                <w:rFonts w:asciiTheme="majorHAnsi" w:hAnsiTheme="majorHAnsi"/>
                <w:color w:val="676563"/>
                <w:sz w:val="24"/>
                <w:szCs w:val="24"/>
              </w:rPr>
            </w:pPr>
          </w:p>
          <w:p w14:paraId="000AC716" w14:textId="0C73B060" w:rsidR="001B32A6" w:rsidRPr="00611A18" w:rsidRDefault="00611A18">
            <w:pPr>
              <w:rPr>
                <w:rFonts w:asciiTheme="majorHAnsi" w:hAnsiTheme="majorHAnsi"/>
                <w:color w:val="676563"/>
                <w:sz w:val="24"/>
                <w:szCs w:val="24"/>
              </w:rPr>
            </w:pPr>
            <w:hyperlink r:id="rId19" w:history="1">
              <w:r w:rsidR="00EC673A" w:rsidRPr="00611A18">
                <w:rPr>
                  <w:rStyle w:val="Hyperlink"/>
                  <w:rFonts w:asciiTheme="majorHAnsi" w:hAnsiTheme="majorHAnsi"/>
                  <w:color w:val="0070C0"/>
                  <w:sz w:val="24"/>
                  <w:szCs w:val="24"/>
                  <w:u w:val="none"/>
                </w:rPr>
                <w:t>Vid</w:t>
              </w:r>
              <w:r w:rsidR="00EC673A" w:rsidRPr="00611A18">
                <w:rPr>
                  <w:rStyle w:val="Hyperlink"/>
                  <w:rFonts w:asciiTheme="majorHAnsi" w:hAnsiTheme="majorHAnsi"/>
                  <w:color w:val="0070C0"/>
                  <w:sz w:val="24"/>
                  <w:szCs w:val="24"/>
                  <w:u w:val="none"/>
                </w:rPr>
                <w:t>e</w:t>
              </w:r>
              <w:r w:rsidR="00EC673A" w:rsidRPr="00611A18">
                <w:rPr>
                  <w:rStyle w:val="Hyperlink"/>
                  <w:rFonts w:asciiTheme="majorHAnsi" w:hAnsiTheme="majorHAnsi"/>
                  <w:color w:val="0070C0"/>
                  <w:sz w:val="24"/>
                  <w:szCs w:val="24"/>
                  <w:u w:val="none"/>
                </w:rPr>
                <w:t>o</w:t>
              </w:r>
            </w:hyperlink>
            <w:r w:rsidR="00EC673A" w:rsidRPr="00611A18">
              <w:rPr>
                <w:rFonts w:asciiTheme="majorHAnsi" w:hAnsiTheme="majorHAnsi"/>
                <w:color w:val="008DE8"/>
                <w:sz w:val="24"/>
                <w:szCs w:val="24"/>
              </w:rPr>
              <w:t xml:space="preserve"> </w:t>
            </w:r>
            <w:r w:rsidR="00EC673A" w:rsidRPr="00611A18">
              <w:rPr>
                <w:rFonts w:asciiTheme="majorHAnsi" w:hAnsiTheme="majorHAnsi"/>
                <w:color w:val="676563"/>
                <w:sz w:val="24"/>
                <w:szCs w:val="24"/>
              </w:rPr>
              <w:t>on in</w:t>
            </w:r>
            <w:r w:rsidR="00EC673A" w:rsidRPr="00611A18">
              <w:rPr>
                <w:rFonts w:asciiTheme="majorHAnsi" w:hAnsiTheme="majorHAnsi"/>
                <w:color w:val="676563"/>
                <w:sz w:val="24"/>
                <w:szCs w:val="24"/>
              </w:rPr>
              <w:t>tegrating 3 signature SEL practices into meetings and</w:t>
            </w:r>
            <w:r w:rsidR="00EC673A" w:rsidRPr="00611A18">
              <w:rPr>
                <w:rFonts w:asciiTheme="majorHAnsi" w:hAnsiTheme="majorHAnsi"/>
                <w:color w:val="008DE8"/>
                <w:sz w:val="24"/>
                <w:szCs w:val="24"/>
              </w:rPr>
              <w:t xml:space="preserve"> </w:t>
            </w:r>
            <w:hyperlink r:id="rId20">
              <w:r w:rsidR="00EC673A"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ha</w:t>
              </w:r>
              <w:r w:rsidR="00EC673A"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n</w:t>
              </w:r>
              <w:r w:rsidR="00EC673A"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dout</w:t>
              </w:r>
            </w:hyperlink>
          </w:p>
          <w:p w14:paraId="388453AF" w14:textId="77777777" w:rsidR="001B32A6" w:rsidRPr="00611A18" w:rsidRDefault="001B32A6">
            <w:pPr>
              <w:rPr>
                <w:rFonts w:asciiTheme="majorHAnsi" w:hAnsiTheme="majorHAnsi"/>
                <w:color w:val="676563"/>
                <w:sz w:val="24"/>
                <w:szCs w:val="24"/>
              </w:rPr>
            </w:pPr>
          </w:p>
        </w:tc>
      </w:tr>
      <w:tr w:rsidR="001B32A6" w:rsidRPr="00611A18" w14:paraId="34C10E9C" w14:textId="77777777" w:rsidTr="00020A28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A8B48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lastRenderedPageBreak/>
              <w:t>Practice- Oriented session tailored to audience</w:t>
            </w:r>
          </w:p>
          <w:p w14:paraId="638E2158" w14:textId="77777777" w:rsidR="001B32A6" w:rsidRPr="00611A18" w:rsidRDefault="001B32A6">
            <w:pPr>
              <w:widowControl w:val="0"/>
              <w:spacing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5EA22527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Build a role-specific overview and SEL experience that will ha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ve maximum impact in a short amount of time for specific district stakeholders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307F" w14:textId="77777777" w:rsidR="001B32A6" w:rsidRPr="00611A18" w:rsidRDefault="00EC673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For district staff who are to be more deeply involved in districtwide SEL implementation or who have a very specific and important role, it will be necessary to arrange a specia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l session to ensure that they understand how SEL is connected to their role and can take action to integrate SEL with their work.  These tailored sessions may focus on:</w:t>
            </w:r>
          </w:p>
          <w:p w14:paraId="56E93E1E" w14:textId="77777777" w:rsidR="001B32A6" w:rsidRPr="00611A18" w:rsidRDefault="00EC673A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Integration of SEL with instructional practices</w:t>
            </w:r>
          </w:p>
          <w:p w14:paraId="4D00F7C3" w14:textId="77777777" w:rsidR="001B32A6" w:rsidRPr="00611A18" w:rsidRDefault="00EC673A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How to support implementation of evidence-based programs</w:t>
            </w:r>
          </w:p>
          <w:p w14:paraId="392DDF23" w14:textId="77777777" w:rsidR="001B32A6" w:rsidRPr="00611A18" w:rsidRDefault="00EC673A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The use of SEL standards</w:t>
            </w:r>
          </w:p>
          <w:p w14:paraId="2FD61FC0" w14:textId="77777777" w:rsidR="001B32A6" w:rsidRPr="00611A18" w:rsidRDefault="00EC673A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Evidence of the effectiveness of SEL to justify program expansion or funding request</w:t>
            </w:r>
          </w:p>
          <w:p w14:paraId="448CE104" w14:textId="77777777" w:rsidR="001B32A6" w:rsidRPr="00611A18" w:rsidRDefault="00EC673A">
            <w:pPr>
              <w:numPr>
                <w:ilvl w:val="0"/>
                <w:numId w:val="3"/>
              </w:num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Action steps to take to facilitate succes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sful and sustainable SEL</w:t>
            </w:r>
          </w:p>
          <w:p w14:paraId="6BA12F3E" w14:textId="77777777" w:rsidR="001B32A6" w:rsidRPr="00611A18" w:rsidRDefault="001B32A6">
            <w:pPr>
              <w:widowControl w:val="0"/>
              <w:spacing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AA71B" w14:textId="77777777" w:rsidR="00611A18" w:rsidRDefault="00611A18">
            <w:pPr>
              <w:rPr>
                <w:rFonts w:asciiTheme="majorHAnsi" w:hAnsiTheme="majorHAnsi"/>
                <w:color w:val="0070C0"/>
                <w:sz w:val="24"/>
                <w:szCs w:val="24"/>
              </w:rPr>
            </w:pPr>
            <w:hyperlink r:id="rId21" w:history="1">
              <w:r w:rsidRPr="00611A18">
                <w:rPr>
                  <w:rStyle w:val="Hyperlink"/>
                  <w:rFonts w:asciiTheme="majorHAnsi" w:hAnsiTheme="majorHAnsi"/>
                  <w:color w:val="0070C0"/>
                  <w:sz w:val="24"/>
                  <w:szCs w:val="24"/>
                  <w:u w:val="none"/>
                </w:rPr>
                <w:t>Integrating SEL into State and District Policies</w:t>
              </w:r>
            </w:hyperlink>
          </w:p>
          <w:p w14:paraId="633E1E06" w14:textId="77777777" w:rsidR="00611A18" w:rsidRDefault="00611A18">
            <w:pPr>
              <w:rPr>
                <w:rFonts w:asciiTheme="majorHAnsi" w:hAnsiTheme="majorHAnsi"/>
                <w:color w:val="0070C0"/>
                <w:sz w:val="24"/>
                <w:szCs w:val="24"/>
              </w:rPr>
            </w:pPr>
          </w:p>
          <w:p w14:paraId="496F15C0" w14:textId="5E71E899" w:rsidR="001B32A6" w:rsidRPr="00611A18" w:rsidRDefault="00611A18">
            <w:pPr>
              <w:rPr>
                <w:rFonts w:asciiTheme="majorHAnsi" w:hAnsiTheme="majorHAnsi"/>
                <w:color w:val="0070C0"/>
                <w:sz w:val="24"/>
                <w:szCs w:val="24"/>
              </w:rPr>
            </w:pPr>
            <w:hyperlink r:id="rId22" w:history="1">
              <w:r w:rsidRPr="00611A18">
                <w:rPr>
                  <w:rStyle w:val="Hyperlink"/>
                  <w:rFonts w:asciiTheme="majorHAnsi" w:hAnsiTheme="majorHAnsi"/>
                  <w:color w:val="0070C0"/>
                  <w:sz w:val="24"/>
                  <w:szCs w:val="24"/>
                  <w:u w:val="none"/>
                </w:rPr>
                <w:t>SEL Administrator Academy: Implementing Social and Emotional Learning Systemwide to Improve Student Achievement</w:t>
              </w:r>
            </w:hyperlink>
            <w:r w:rsidR="00EC673A" w:rsidRPr="00611A18">
              <w:rPr>
                <w:rFonts w:asciiTheme="majorHAnsi" w:hAnsiTheme="majorHAnsi"/>
                <w:color w:val="0070C0"/>
                <w:sz w:val="24"/>
                <w:szCs w:val="24"/>
              </w:rPr>
              <w:fldChar w:fldCharType="begin"/>
            </w:r>
            <w:r w:rsidRPr="00611A18">
              <w:rPr>
                <w:rFonts w:asciiTheme="majorHAnsi" w:hAnsiTheme="majorHAnsi"/>
                <w:color w:val="0070C0"/>
                <w:sz w:val="24"/>
                <w:szCs w:val="24"/>
              </w:rPr>
              <w:instrText>HYPERLINK "https://drc.casel.org/blog/resource/sel-administrator-academy-implementing-social-and-emotional-learning-systemwide-to-improve-student-achievement/"</w:instrText>
            </w:r>
            <w:r w:rsidRPr="00611A18">
              <w:rPr>
                <w:rFonts w:asciiTheme="majorHAnsi" w:hAnsiTheme="majorHAnsi"/>
                <w:color w:val="0070C0"/>
                <w:sz w:val="24"/>
                <w:szCs w:val="24"/>
              </w:rPr>
            </w:r>
            <w:r w:rsidR="00EC673A" w:rsidRPr="00611A18">
              <w:rPr>
                <w:rFonts w:asciiTheme="majorHAnsi" w:hAnsiTheme="majorHAnsi"/>
                <w:color w:val="0070C0"/>
                <w:sz w:val="24"/>
                <w:szCs w:val="24"/>
              </w:rPr>
              <w:fldChar w:fldCharType="separate"/>
            </w:r>
          </w:p>
          <w:p w14:paraId="45A24469" w14:textId="77777777" w:rsidR="001B32A6" w:rsidRPr="00611A18" w:rsidRDefault="00EC673A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70C0"/>
                <w:sz w:val="24"/>
                <w:szCs w:val="24"/>
              </w:rPr>
              <w:fldChar w:fldCharType="end"/>
            </w:r>
          </w:p>
          <w:p w14:paraId="7D274BEE" w14:textId="77777777" w:rsidR="001B32A6" w:rsidRPr="00611A18" w:rsidRDefault="00EC673A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23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Sacramento 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S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EL Bo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a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rd Training</w:t>
              </w:r>
            </w:hyperlink>
          </w:p>
          <w:p w14:paraId="6798D6DB" w14:textId="77777777" w:rsidR="001B32A6" w:rsidRPr="00611A18" w:rsidRDefault="001B32A6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6D7770E3" w14:textId="77777777" w:rsidR="001B32A6" w:rsidRPr="00611A18" w:rsidRDefault="00EC673A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24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Introduction to SE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L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 for School Staff (PowerPoint) - Nashv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ille</w:t>
              </w:r>
            </w:hyperlink>
          </w:p>
          <w:p w14:paraId="1A32B2CC" w14:textId="77777777" w:rsidR="001B32A6" w:rsidRPr="00611A18" w:rsidRDefault="001B32A6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2601F92E" w14:textId="757B8DAA" w:rsidR="001B32A6" w:rsidRPr="00611A18" w:rsidRDefault="00EC673A">
            <w:pP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25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Social and Emotio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n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al Learning in Pra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c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tice: Toolkit of Practical Strate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g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ies and Resources</w:t>
              </w:r>
            </w:hyperlink>
          </w:p>
        </w:tc>
      </w:tr>
      <w:tr w:rsidR="001B32A6" w:rsidRPr="00611A18" w14:paraId="4B273FFE" w14:textId="77777777" w:rsidTr="00020A28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59A6" w14:textId="77777777" w:rsidR="001B32A6" w:rsidRPr="00611A18" w:rsidRDefault="00EC673A">
            <w:pPr>
              <w:widowControl w:val="0"/>
              <w:spacing w:line="240" w:lineRule="auto"/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b/>
                <w:color w:val="000000" w:themeColor="text1"/>
                <w:sz w:val="24"/>
                <w:szCs w:val="24"/>
              </w:rPr>
              <w:t>Site visits</w:t>
            </w:r>
          </w:p>
          <w:p w14:paraId="3E2E337C" w14:textId="77777777" w:rsidR="001B32A6" w:rsidRPr="00611A18" w:rsidRDefault="001B32A6">
            <w:pPr>
              <w:widowControl w:val="0"/>
              <w:spacing w:line="240" w:lineRule="auto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0D79F165" w14:textId="77777777" w:rsidR="001B32A6" w:rsidRPr="00611A18" w:rsidRDefault="00EC673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Invite leaders to see SEL in action in your district or a district with more advanced implementation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5EE6" w14:textId="77777777" w:rsidR="001B32A6" w:rsidRPr="00611A18" w:rsidRDefault="00EC673A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Allowing district and school leaders to see, hear, and feel the impact of systemic SEL implementation can be a powerful way to increase understanding, inve</w:t>
            </w:r>
            <w:r w:rsidRPr="00611A18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stment, and advocacy. Consider exploring both districts in your area as well as those known nationally for implementing SEL, or simply organizing a visit to a school within your district where SEL implementation is strong and has had a clear impact.  </w:t>
            </w: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61A9" w14:textId="54AB0312" w:rsidR="001B32A6" w:rsidRPr="00611A18" w:rsidRDefault="00EC673A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26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SEL Learning Walk Pr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o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toco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l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 (Anchorage) </w:t>
              </w:r>
            </w:hyperlink>
            <w:r w:rsidRPr="00611A18">
              <w:rPr>
                <w:rFonts w:asciiTheme="majorHAnsi" w:hAnsiTheme="majorHAnsi"/>
                <w:color w:val="676563"/>
                <w:sz w:val="24"/>
                <w:szCs w:val="24"/>
              </w:rPr>
              <w:t>and</w:t>
            </w:r>
            <w:r w:rsidRPr="00611A18">
              <w:rPr>
                <w:rFonts w:asciiTheme="majorHAnsi" w:hAnsiTheme="majorHAnsi"/>
                <w:color w:val="008DE8"/>
                <w:sz w:val="24"/>
                <w:szCs w:val="24"/>
              </w:rPr>
              <w:t xml:space="preserve"> </w:t>
            </w:r>
            <w:hyperlink r:id="rId27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Observation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 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T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o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ol</w:t>
              </w:r>
            </w:hyperlink>
          </w:p>
          <w:p w14:paraId="69DE94DE" w14:textId="77777777" w:rsidR="001B32A6" w:rsidRPr="00611A18" w:rsidRDefault="001B32A6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1B01E7E3" w14:textId="77777777" w:rsidR="001B32A6" w:rsidRPr="00611A18" w:rsidRDefault="00EC673A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28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Observation Tool - CDI Le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a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rning Event 2018 (Chicago)</w:t>
              </w:r>
            </w:hyperlink>
          </w:p>
          <w:p w14:paraId="33299DC6" w14:textId="77777777" w:rsidR="001B32A6" w:rsidRPr="00611A18" w:rsidRDefault="001B32A6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5E967225" w14:textId="77777777" w:rsidR="001B32A6" w:rsidRPr="00611A18" w:rsidRDefault="00EC673A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  <w:hyperlink r:id="rId29"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Observation Tool - CDI Learnin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>g</w:t>
              </w:r>
              <w:r w:rsidRPr="00611A18">
                <w:rPr>
                  <w:rFonts w:asciiTheme="majorHAnsi" w:hAnsiTheme="majorHAnsi"/>
                  <w:color w:val="008DE8"/>
                  <w:sz w:val="24"/>
                  <w:szCs w:val="24"/>
                </w:rPr>
                <w:t xml:space="preserve"> Event 2019 (Sacramento)</w:t>
              </w:r>
            </w:hyperlink>
          </w:p>
          <w:p w14:paraId="4CA5DEA4" w14:textId="77777777" w:rsidR="001B32A6" w:rsidRPr="00611A18" w:rsidRDefault="001B32A6">
            <w:pPr>
              <w:pBdr>
                <w:left w:val="nil"/>
              </w:pBdr>
              <w:rPr>
                <w:rFonts w:asciiTheme="majorHAnsi" w:hAnsiTheme="majorHAnsi"/>
                <w:color w:val="008DE8"/>
                <w:sz w:val="24"/>
                <w:szCs w:val="24"/>
              </w:rPr>
            </w:pPr>
          </w:p>
          <w:p w14:paraId="125B1452" w14:textId="77777777" w:rsidR="001B32A6" w:rsidRPr="00611A18" w:rsidRDefault="001B32A6">
            <w:pPr>
              <w:widowControl w:val="0"/>
              <w:spacing w:line="240" w:lineRule="auto"/>
              <w:rPr>
                <w:rFonts w:asciiTheme="majorHAnsi" w:hAnsiTheme="majorHAnsi"/>
                <w:color w:val="676563"/>
                <w:sz w:val="24"/>
                <w:szCs w:val="24"/>
              </w:rPr>
            </w:pPr>
          </w:p>
        </w:tc>
      </w:tr>
    </w:tbl>
    <w:p w14:paraId="3BCEC193" w14:textId="77777777" w:rsidR="001B32A6" w:rsidRPr="003E73BB" w:rsidRDefault="001B32A6">
      <w:pPr>
        <w:rPr>
          <w:sz w:val="2"/>
          <w:szCs w:val="2"/>
        </w:rPr>
      </w:pPr>
      <w:bookmarkStart w:id="0" w:name="_GoBack"/>
      <w:bookmarkEnd w:id="0"/>
    </w:p>
    <w:sectPr w:rsidR="001B32A6" w:rsidRPr="003E73BB">
      <w:headerReference w:type="default" r:id="rId30"/>
      <w:footerReference w:type="default" r:id="rId31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77AF6" w14:textId="77777777" w:rsidR="00EC673A" w:rsidRDefault="00EC673A" w:rsidP="00B47AE7">
      <w:pPr>
        <w:spacing w:line="240" w:lineRule="auto"/>
      </w:pPr>
      <w:r>
        <w:separator/>
      </w:r>
    </w:p>
  </w:endnote>
  <w:endnote w:type="continuationSeparator" w:id="0">
    <w:p w14:paraId="7E78B1CC" w14:textId="77777777" w:rsidR="00EC673A" w:rsidRDefault="00EC673A" w:rsidP="00B47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031A6" w14:textId="77777777" w:rsidR="00B47AE7" w:rsidRPr="008851B9" w:rsidRDefault="00B47AE7" w:rsidP="00B47AE7">
    <w:pPr>
      <w:rPr>
        <w:rFonts w:ascii="Helvetica" w:hAnsi="Helvetica"/>
        <w:sz w:val="14"/>
        <w:szCs w:val="14"/>
      </w:rPr>
    </w:pPr>
    <w:r w:rsidRPr="008851B9">
      <w:rPr>
        <w:rFonts w:ascii="Helvetica" w:hAnsi="Helvetica"/>
        <w:color w:val="000000"/>
        <w:sz w:val="14"/>
        <w:szCs w:val="14"/>
      </w:rPr>
      <w:t xml:space="preserve">For more information, tools, and resources, visit </w:t>
    </w:r>
    <w:r>
      <w:rPr>
        <w:rFonts w:ascii="Helvetica" w:hAnsi="Helvetica"/>
        <w:color w:val="000000"/>
        <w:sz w:val="14"/>
        <w:szCs w:val="14"/>
      </w:rPr>
      <w:t>drc</w:t>
    </w:r>
    <w:r w:rsidRPr="008851B9">
      <w:rPr>
        <w:rFonts w:ascii="Helvetica" w:hAnsi="Helvetica"/>
        <w:color w:val="000000"/>
        <w:sz w:val="14"/>
        <w:szCs w:val="14"/>
      </w:rPr>
      <w:t>.casel.org.</w:t>
    </w:r>
  </w:p>
  <w:p w14:paraId="4A0D8A5D" w14:textId="56C6ED2B" w:rsidR="00B47AE7" w:rsidRPr="00B47AE7" w:rsidRDefault="00B47AE7" w:rsidP="00B47AE7">
    <w:pPr>
      <w:rPr>
        <w:rFonts w:ascii="Helvetica" w:hAnsi="Helvetica"/>
        <w:sz w:val="14"/>
        <w:szCs w:val="14"/>
      </w:rPr>
    </w:pPr>
    <w:r w:rsidRPr="0028489E">
      <w:rPr>
        <w:rFonts w:ascii="Helvetica" w:hAnsi="Helvetica"/>
        <w:b/>
        <w:bCs/>
        <w:color w:val="000000"/>
        <w:sz w:val="14"/>
        <w:szCs w:val="14"/>
      </w:rPr>
      <w:t>Copyright © 2019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C14EC" w14:textId="77777777" w:rsidR="00EC673A" w:rsidRDefault="00EC673A" w:rsidP="00B47AE7">
      <w:pPr>
        <w:spacing w:line="240" w:lineRule="auto"/>
      </w:pPr>
      <w:r>
        <w:separator/>
      </w:r>
    </w:p>
  </w:footnote>
  <w:footnote w:type="continuationSeparator" w:id="0">
    <w:p w14:paraId="019A5C69" w14:textId="77777777" w:rsidR="00EC673A" w:rsidRDefault="00EC673A" w:rsidP="00B47A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3A3A" w14:textId="63A9E41D" w:rsidR="00B47AE7" w:rsidRDefault="00B47AE7">
    <w:pPr>
      <w:pStyle w:val="Header"/>
    </w:pPr>
    <w:r>
      <w:rPr>
        <w:noProof/>
      </w:rPr>
      <w:drawing>
        <wp:inline distT="0" distB="0" distL="0" distR="0" wp14:anchorId="07A12267" wp14:editId="4BB1722E">
          <wp:extent cx="1689100" cy="45442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C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4298" cy="469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7495"/>
    <w:multiLevelType w:val="multilevel"/>
    <w:tmpl w:val="78B07B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A61DDD"/>
    <w:multiLevelType w:val="multilevel"/>
    <w:tmpl w:val="E17866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E854BA"/>
    <w:multiLevelType w:val="multilevel"/>
    <w:tmpl w:val="4D5638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A6"/>
    <w:rsid w:val="00020A28"/>
    <w:rsid w:val="001B32A6"/>
    <w:rsid w:val="003E73BB"/>
    <w:rsid w:val="00611A18"/>
    <w:rsid w:val="00AF140E"/>
    <w:rsid w:val="00B47AE7"/>
    <w:rsid w:val="00EC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94E7B"/>
  <w15:docId w15:val="{93076B0E-E5DA-814E-BFD1-0836EC9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7A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AE7"/>
  </w:style>
  <w:style w:type="paragraph" w:styleId="Footer">
    <w:name w:val="footer"/>
    <w:basedOn w:val="Normal"/>
    <w:link w:val="FooterChar"/>
    <w:uiPriority w:val="99"/>
    <w:unhideWhenUsed/>
    <w:rsid w:val="00B47A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AE7"/>
  </w:style>
  <w:style w:type="paragraph" w:styleId="BalloonText">
    <w:name w:val="Balloon Text"/>
    <w:basedOn w:val="Normal"/>
    <w:link w:val="BalloonTextChar"/>
    <w:uiPriority w:val="99"/>
    <w:semiHidden/>
    <w:unhideWhenUsed/>
    <w:rsid w:val="00B47AE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AE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14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3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c.casel.org/blog/resource/students-with-strong-social-skills-in-kindergarten-more-likely-to-thrive-as-adults/" TargetMode="External"/><Relationship Id="rId18" Type="http://schemas.openxmlformats.org/officeDocument/2006/relationships/hyperlink" Target="https://drc.casel.org/blog/resource/developing-effective-social-and-emotional-learning-communication-strategies-for-your-district/sel-message-map/" TargetMode="External"/><Relationship Id="rId26" Type="http://schemas.openxmlformats.org/officeDocument/2006/relationships/hyperlink" Target="https://drc.casel.org/resources/sel-learning-walk-protoco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c.casel.org/blog/resource/integrating-social-emotional-learning-into-state-and-district-policies/" TargetMode="External"/><Relationship Id="rId7" Type="http://schemas.openxmlformats.org/officeDocument/2006/relationships/hyperlink" Target="https://drc.casel.org/blog/resource/how-to-create-a-professional-learning-community-2/" TargetMode="External"/><Relationship Id="rId12" Type="http://schemas.openxmlformats.org/officeDocument/2006/relationships/hyperlink" Target="https://drc.casel.org/blog/resource/social-emotional-competence-an-essential-factor-for-promoting-positive-adjustment-and-reducing-risk-in-school-children/" TargetMode="External"/><Relationship Id="rId17" Type="http://schemas.openxmlformats.org/officeDocument/2006/relationships/hyperlink" Target="https://drc.casel.org/resources/casel-personal-assessment-and-reflection-tool-sel-competencies-for-school-leaders/" TargetMode="External"/><Relationship Id="rId25" Type="http://schemas.openxmlformats.org/officeDocument/2006/relationships/hyperlink" Target="https://drc.casel.org/blog/resource/social-and-emotional-learning-in-practice-toolkit-of-practical-strategies-and-resource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c.casel.org/blog/resource/the-case-for-sel-sample-presentation-3/" TargetMode="External"/><Relationship Id="rId20" Type="http://schemas.openxmlformats.org/officeDocument/2006/relationships/hyperlink" Target="https://drc.casel.org/blog/resource/sel-3-signature-practices-playbook-2/three-signature-practices-handout-for-adults/" TargetMode="External"/><Relationship Id="rId29" Type="http://schemas.openxmlformats.org/officeDocument/2006/relationships/hyperlink" Target="https://drive.google.com/open?id=1lq3jECkrAh9DxZkpWutmnGfT3Rp5mB4EyEIttLH-ey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c.casel.org/blog/resource/this-time-with-feeling-integrating-social-and-emotional-development-and-college-and-career-readiness-standards/" TargetMode="External"/><Relationship Id="rId24" Type="http://schemas.openxmlformats.org/officeDocument/2006/relationships/hyperlink" Target="https://drc.casel.org/resources/introduction-to-sel-for-school-staff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rc.casel.org/resources/year-long-expertise-development-and-implementation-planning-for-schools-and-central-office" TargetMode="External"/><Relationship Id="rId23" Type="http://schemas.openxmlformats.org/officeDocument/2006/relationships/hyperlink" Target="https://drc.casel.org/resources/sacramento-sel-board-training/" TargetMode="External"/><Relationship Id="rId28" Type="http://schemas.openxmlformats.org/officeDocument/2006/relationships/hyperlink" Target="https://drive.google.com/open?id=1xls8NLZXukRyE3dSA9CWGHJv4WNaZMZFAlRorIXwHZw" TargetMode="External"/><Relationship Id="rId10" Type="http://schemas.openxmlformats.org/officeDocument/2006/relationships/hyperlink" Target="https://drc.casel.org/blog/resource/edutopias-how-learning-happens-video-series/" TargetMode="External"/><Relationship Id="rId19" Type="http://schemas.openxmlformats.org/officeDocument/2006/relationships/hyperlink" Target="https://drc.casel.org/blog/resource/three-signature-practices-creating-the-conditions-for-adult-learning/three-signature-sel-practices-video/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rc.casel.org/resources/sel-central-office-professional-learning-community-save-the-date/" TargetMode="External"/><Relationship Id="rId14" Type="http://schemas.openxmlformats.org/officeDocument/2006/relationships/hyperlink" Target="https://drc.casel.org/blog/resource/pursuing-social-and-emotional-development-through-a-racial-equity-lens-5-strategies-for-system-leaders-to-take-action/" TargetMode="External"/><Relationship Id="rId22" Type="http://schemas.openxmlformats.org/officeDocument/2006/relationships/hyperlink" Target="file:///SEL%20Administrator%20Academy/%20Implementing%20Social%20and%20Emotional%20Learning%20Systemwide%20to%20Improve%20Student%20Achievement" TargetMode="External"/><Relationship Id="rId27" Type="http://schemas.openxmlformats.org/officeDocument/2006/relationships/hyperlink" Target="https://drc.casel.org/blog/resource/sel-learning-walk-protocol-anchorage-2/sel-learning-walk-observation-tool-anchorage/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rc.casel.org/resources/sel-central-office-professional-learning-community-descrip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3</cp:revision>
  <dcterms:created xsi:type="dcterms:W3CDTF">2019-05-01T17:12:00Z</dcterms:created>
  <dcterms:modified xsi:type="dcterms:W3CDTF">2019-05-01T17:13:00Z</dcterms:modified>
</cp:coreProperties>
</file>