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204421" w14:textId="77777777" w:rsidR="001F50DD" w:rsidRDefault="002135DD">
      <w:pPr>
        <w:ind w:left="-450" w:right="-360"/>
        <w:rPr>
          <w:rFonts w:ascii="Times New Roman" w:eastAsia="Times New Roman" w:hAnsi="Times New Roman" w:cs="Times New Roman"/>
        </w:rPr>
      </w:pPr>
      <w:r>
        <w:rPr>
          <w:rFonts w:ascii="Times New Roman" w:eastAsia="Times New Roman" w:hAnsi="Times New Roman" w:cs="Times New Roman"/>
        </w:rPr>
        <w:t xml:space="preserve">Over the past several years, states and districts have worked to address the impact of the pandemic and help students recover academically, socially, and emotionally. As the final round of American Rescue Plan Elementary and Secondary School Emergency Relief (ESSER) funds must be committed by the end of September 2024 (unless a State has received approval for late liquidation), states and districts are making important funding decisions to continue critical investments in supporting students’ ongoing academic, social, and emotional needs. </w:t>
      </w:r>
    </w:p>
    <w:p w14:paraId="3DE26800" w14:textId="77777777" w:rsidR="001F50DD" w:rsidRDefault="001F50DD">
      <w:pPr>
        <w:ind w:left="-450" w:right="-360"/>
        <w:rPr>
          <w:rFonts w:ascii="Times New Roman" w:eastAsia="Times New Roman" w:hAnsi="Times New Roman" w:cs="Times New Roman"/>
        </w:rPr>
      </w:pPr>
    </w:p>
    <w:p w14:paraId="31BCA2D0" w14:textId="77777777" w:rsidR="001F50DD" w:rsidRDefault="002135DD">
      <w:pPr>
        <w:ind w:left="-450" w:right="-360"/>
        <w:rPr>
          <w:rFonts w:ascii="Times New Roman" w:eastAsia="Times New Roman" w:hAnsi="Times New Roman" w:cs="Times New Roman"/>
        </w:rPr>
      </w:pPr>
      <w:r>
        <w:rPr>
          <w:rFonts w:ascii="Times New Roman" w:eastAsia="Times New Roman" w:hAnsi="Times New Roman" w:cs="Times New Roman"/>
        </w:rPr>
        <w:t xml:space="preserve">This moment, while challenging and difficult, calls for states and the federal government to look for opportunities to increase investments in K-12 education and sustain support for evidence-based strategies with proven effectiveness. The Every Student Succeeds Act in particular calls for a focus on well-rounded education, and provides states and districts with the flexibility to choose evidence-based strategies - such as social and emotional learning (SEL) - to support student achievement. </w:t>
      </w:r>
    </w:p>
    <w:p w14:paraId="2CBEE519" w14:textId="77777777" w:rsidR="001F50DD" w:rsidRDefault="001F50DD">
      <w:pPr>
        <w:ind w:left="-450" w:right="-360"/>
        <w:rPr>
          <w:rFonts w:ascii="Times New Roman" w:eastAsia="Times New Roman" w:hAnsi="Times New Roman" w:cs="Times New Roman"/>
        </w:rPr>
      </w:pPr>
    </w:p>
    <w:p w14:paraId="3267BA43" w14:textId="77777777" w:rsidR="001F50DD" w:rsidRDefault="002135DD">
      <w:pPr>
        <w:ind w:left="-450" w:right="-360"/>
        <w:rPr>
          <w:rFonts w:ascii="Times New Roman" w:eastAsia="Times New Roman" w:hAnsi="Times New Roman" w:cs="Times New Roman"/>
          <w:b/>
          <w:sz w:val="2"/>
          <w:szCs w:val="2"/>
        </w:rPr>
      </w:pPr>
      <w:r>
        <w:rPr>
          <w:rFonts w:ascii="Times New Roman" w:eastAsia="Times New Roman" w:hAnsi="Times New Roman" w:cs="Times New Roman"/>
        </w:rPr>
        <w:t>Below is a list of federal funding sources across the U.S. Department of Education and the U.S. Department of Health and Human Services, which states and districts can leverage to support students’ academic, social, and emotional learning.</w:t>
      </w:r>
    </w:p>
    <w:p w14:paraId="50616F6F" w14:textId="77777777" w:rsidR="001F50DD" w:rsidRDefault="001F50DD">
      <w:pPr>
        <w:rPr>
          <w:rFonts w:ascii="Times New Roman" w:eastAsia="Times New Roman" w:hAnsi="Times New Roman" w:cs="Times New Roman"/>
          <w:b/>
          <w:sz w:val="2"/>
          <w:szCs w:val="2"/>
        </w:rPr>
      </w:pPr>
    </w:p>
    <w:p w14:paraId="44FCE006" w14:textId="77777777" w:rsidR="001F50DD" w:rsidRDefault="001F50DD">
      <w:pPr>
        <w:rPr>
          <w:rFonts w:ascii="Times New Roman" w:eastAsia="Times New Roman" w:hAnsi="Times New Roman" w:cs="Times New Roman"/>
          <w:b/>
          <w:sz w:val="2"/>
          <w:szCs w:val="2"/>
        </w:rPr>
      </w:pPr>
    </w:p>
    <w:p w14:paraId="342B12D5" w14:textId="77777777" w:rsidR="001F50DD" w:rsidRDefault="001F50DD">
      <w:pPr>
        <w:ind w:left="-360" w:right="-90"/>
        <w:rPr>
          <w:rFonts w:ascii="Times New Roman" w:eastAsia="Times New Roman" w:hAnsi="Times New Roman" w:cs="Times New Roman"/>
          <w:b/>
          <w:sz w:val="2"/>
          <w:szCs w:val="2"/>
        </w:rPr>
      </w:pPr>
    </w:p>
    <w:tbl>
      <w:tblPr>
        <w:tblStyle w:val="a"/>
        <w:tblpPr w:leftFromText="180" w:rightFromText="180" w:topFromText="180" w:bottomFromText="180" w:vertAnchor="text" w:tblpX="-405"/>
        <w:tblW w:w="13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4065"/>
        <w:gridCol w:w="3630"/>
        <w:gridCol w:w="1065"/>
        <w:gridCol w:w="1185"/>
        <w:gridCol w:w="1320"/>
        <w:gridCol w:w="840"/>
      </w:tblGrid>
      <w:tr w:rsidR="001F50DD" w14:paraId="4EA6950B" w14:textId="77777777">
        <w:trPr>
          <w:trHeight w:val="440"/>
          <w:tblHeader/>
        </w:trPr>
        <w:tc>
          <w:tcPr>
            <w:tcW w:w="13740" w:type="dxa"/>
            <w:gridSpan w:val="7"/>
            <w:shd w:val="clear" w:color="auto" w:fill="D9D9D9"/>
          </w:tcPr>
          <w:p w14:paraId="737E483F" w14:textId="77777777" w:rsidR="001F50DD" w:rsidRDefault="002135DD">
            <w:pPr>
              <w:jc w:val="center"/>
              <w:rPr>
                <w:rFonts w:ascii="Times New Roman" w:eastAsia="Times New Roman" w:hAnsi="Times New Roman" w:cs="Times New Roman"/>
                <w:b/>
              </w:rPr>
            </w:pPr>
            <w:r>
              <w:rPr>
                <w:rFonts w:ascii="Times New Roman" w:eastAsia="Times New Roman" w:hAnsi="Times New Roman" w:cs="Times New Roman"/>
                <w:b/>
              </w:rPr>
              <w:lastRenderedPageBreak/>
              <w:t>U.S. Department of Education</w:t>
            </w:r>
          </w:p>
        </w:tc>
      </w:tr>
      <w:tr w:rsidR="001F50DD" w14:paraId="7DFA44B4" w14:textId="77777777">
        <w:trPr>
          <w:trHeight w:val="440"/>
          <w:tblHeader/>
        </w:trPr>
        <w:tc>
          <w:tcPr>
            <w:tcW w:w="13740" w:type="dxa"/>
            <w:gridSpan w:val="7"/>
            <w:shd w:val="clear" w:color="auto" w:fill="A4C2F4"/>
          </w:tcPr>
          <w:p w14:paraId="67B0A015"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 xml:space="preserve">Elementary and Secondary Education Act (ESEA) </w:t>
            </w:r>
          </w:p>
        </w:tc>
      </w:tr>
      <w:tr w:rsidR="001F50DD" w14:paraId="48DE9779" w14:textId="77777777">
        <w:trPr>
          <w:trHeight w:val="787"/>
          <w:tblHeader/>
        </w:trPr>
        <w:tc>
          <w:tcPr>
            <w:tcW w:w="1635" w:type="dxa"/>
          </w:tcPr>
          <w:p w14:paraId="052AAFFF"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Title</w:t>
            </w:r>
          </w:p>
        </w:tc>
        <w:tc>
          <w:tcPr>
            <w:tcW w:w="4065" w:type="dxa"/>
          </w:tcPr>
          <w:p w14:paraId="51AE6DD4"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About the Grant Program</w:t>
            </w:r>
          </w:p>
        </w:tc>
        <w:tc>
          <w:tcPr>
            <w:tcW w:w="3630" w:type="dxa"/>
          </w:tcPr>
          <w:p w14:paraId="2BB82D97"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How It Can Support SEL</w:t>
            </w:r>
          </w:p>
        </w:tc>
        <w:tc>
          <w:tcPr>
            <w:tcW w:w="1065" w:type="dxa"/>
          </w:tcPr>
          <w:p w14:paraId="53B9CFF2" w14:textId="77777777" w:rsidR="001F50DD" w:rsidRDefault="002135DD">
            <w:pPr>
              <w:jc w:val="center"/>
              <w:rPr>
                <w:rFonts w:ascii="Times New Roman" w:eastAsia="Times New Roman" w:hAnsi="Times New Roman" w:cs="Times New Roman"/>
                <w:b/>
              </w:rPr>
            </w:pPr>
            <w:r>
              <w:rPr>
                <w:rFonts w:ascii="Times New Roman" w:eastAsia="Times New Roman" w:hAnsi="Times New Roman" w:cs="Times New Roman"/>
                <w:b/>
              </w:rPr>
              <w:t>States?</w:t>
            </w:r>
          </w:p>
        </w:tc>
        <w:tc>
          <w:tcPr>
            <w:tcW w:w="1185" w:type="dxa"/>
          </w:tcPr>
          <w:p w14:paraId="1A6B6BCE" w14:textId="77777777" w:rsidR="001F50DD" w:rsidRDefault="002135DD">
            <w:pPr>
              <w:jc w:val="center"/>
              <w:rPr>
                <w:rFonts w:ascii="Times New Roman" w:eastAsia="Times New Roman" w:hAnsi="Times New Roman" w:cs="Times New Roman"/>
                <w:b/>
              </w:rPr>
            </w:pPr>
            <w:r>
              <w:rPr>
                <w:rFonts w:ascii="Times New Roman" w:eastAsia="Times New Roman" w:hAnsi="Times New Roman" w:cs="Times New Roman"/>
                <w:b/>
              </w:rPr>
              <w:t>Districts?</w:t>
            </w:r>
          </w:p>
        </w:tc>
        <w:tc>
          <w:tcPr>
            <w:tcW w:w="1320" w:type="dxa"/>
          </w:tcPr>
          <w:p w14:paraId="26137F1A"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 xml:space="preserve">Funding </w:t>
            </w:r>
          </w:p>
          <w:p w14:paraId="54FFC3F0"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Type</w:t>
            </w:r>
          </w:p>
        </w:tc>
        <w:tc>
          <w:tcPr>
            <w:tcW w:w="840" w:type="dxa"/>
          </w:tcPr>
          <w:p w14:paraId="730CB091" w14:textId="77777777" w:rsidR="001F50DD" w:rsidRDefault="002135DD">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Links </w:t>
            </w:r>
          </w:p>
        </w:tc>
      </w:tr>
      <w:tr w:rsidR="001F50DD" w14:paraId="25F223B3" w14:textId="77777777">
        <w:tc>
          <w:tcPr>
            <w:tcW w:w="1635" w:type="dxa"/>
          </w:tcPr>
          <w:p w14:paraId="1E65CCE8" w14:textId="77777777" w:rsidR="001F50DD" w:rsidRDefault="002135DD">
            <w:pPr>
              <w:rPr>
                <w:rFonts w:ascii="Times New Roman" w:eastAsia="Times New Roman" w:hAnsi="Times New Roman" w:cs="Times New Roman"/>
                <w:i/>
              </w:rPr>
            </w:pPr>
            <w:r>
              <w:rPr>
                <w:rFonts w:ascii="Times New Roman" w:eastAsia="Times New Roman" w:hAnsi="Times New Roman" w:cs="Times New Roman"/>
                <w:i/>
              </w:rPr>
              <w:t>Title I, Part A</w:t>
            </w:r>
          </w:p>
          <w:p w14:paraId="4272B2DA" w14:textId="77777777" w:rsidR="001F50DD" w:rsidRDefault="001F50DD">
            <w:pPr>
              <w:widowControl w:val="0"/>
              <w:spacing w:line="240" w:lineRule="auto"/>
              <w:rPr>
                <w:rFonts w:ascii="Times New Roman" w:eastAsia="Times New Roman" w:hAnsi="Times New Roman" w:cs="Times New Roman"/>
                <w:b/>
              </w:rPr>
            </w:pPr>
          </w:p>
        </w:tc>
        <w:tc>
          <w:tcPr>
            <w:tcW w:w="4065" w:type="dxa"/>
          </w:tcPr>
          <w:p w14:paraId="4544357A"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Title I, Part A provides funding to states and districts to support schools with high numbers or percentages of underserved children to ensure that all children meet challenging state academic standards.</w:t>
            </w:r>
          </w:p>
        </w:tc>
        <w:tc>
          <w:tcPr>
            <w:tcW w:w="3630" w:type="dxa"/>
          </w:tcPr>
          <w:p w14:paraId="64C472D1"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Can be used to implement SEL  as schoolwide or targeted assistance supports to boost student academic achievement. Can also include professional development for school personnel working with children receiving Title I-funded services.</w:t>
            </w:r>
          </w:p>
          <w:p w14:paraId="5F75B289" w14:textId="77777777" w:rsidR="001F50DD" w:rsidRDefault="001F50DD">
            <w:pPr>
              <w:rPr>
                <w:rFonts w:ascii="Times New Roman" w:eastAsia="Times New Roman" w:hAnsi="Times New Roman" w:cs="Times New Roman"/>
              </w:rPr>
            </w:pPr>
          </w:p>
          <w:p w14:paraId="414F2037" w14:textId="77777777" w:rsidR="001F50DD" w:rsidRDefault="001F50DD">
            <w:pPr>
              <w:rPr>
                <w:rFonts w:ascii="Times New Roman" w:eastAsia="Times New Roman" w:hAnsi="Times New Roman" w:cs="Times New Roman"/>
              </w:rPr>
            </w:pPr>
          </w:p>
        </w:tc>
        <w:tc>
          <w:tcPr>
            <w:tcW w:w="1065" w:type="dxa"/>
          </w:tcPr>
          <w:p w14:paraId="1393ADC8"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185" w:type="dxa"/>
          </w:tcPr>
          <w:p w14:paraId="237E964B"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4A587D68"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Formula</w:t>
            </w:r>
            <w:r>
              <w:rPr>
                <w:rFonts w:ascii="Times New Roman" w:eastAsia="Times New Roman" w:hAnsi="Times New Roman" w:cs="Times New Roman"/>
                <w:vertAlign w:val="superscript"/>
              </w:rPr>
              <w:footnoteReference w:id="1"/>
            </w:r>
          </w:p>
        </w:tc>
        <w:tc>
          <w:tcPr>
            <w:tcW w:w="840" w:type="dxa"/>
          </w:tcPr>
          <w:p w14:paraId="3FCFE788" w14:textId="77777777" w:rsidR="001F50DD" w:rsidRDefault="002135DD">
            <w:pPr>
              <w:widowControl w:val="0"/>
              <w:spacing w:line="240" w:lineRule="auto"/>
              <w:rPr>
                <w:rFonts w:ascii="Times New Roman" w:eastAsia="Times New Roman" w:hAnsi="Times New Roman" w:cs="Times New Roman"/>
              </w:rPr>
            </w:pPr>
            <w:hyperlink r:id="rId6">
              <w:r>
                <w:rPr>
                  <w:rFonts w:ascii="Times New Roman" w:eastAsia="Times New Roman" w:hAnsi="Times New Roman" w:cs="Times New Roman"/>
                  <w:color w:val="1155CC"/>
                  <w:u w:val="single"/>
                </w:rPr>
                <w:t>Link</w:t>
              </w:r>
            </w:hyperlink>
          </w:p>
        </w:tc>
      </w:tr>
      <w:tr w:rsidR="001F50DD" w14:paraId="4C2A74EB" w14:textId="77777777">
        <w:trPr>
          <w:trHeight w:val="440"/>
        </w:trPr>
        <w:tc>
          <w:tcPr>
            <w:tcW w:w="1635" w:type="dxa"/>
          </w:tcPr>
          <w:p w14:paraId="555054F4" w14:textId="77777777" w:rsidR="001F50DD" w:rsidRDefault="002135DD">
            <w:pPr>
              <w:rPr>
                <w:rFonts w:ascii="Times New Roman" w:eastAsia="Times New Roman" w:hAnsi="Times New Roman" w:cs="Times New Roman"/>
                <w:i/>
              </w:rPr>
            </w:pPr>
            <w:r>
              <w:rPr>
                <w:rFonts w:ascii="Times New Roman" w:eastAsia="Times New Roman" w:hAnsi="Times New Roman" w:cs="Times New Roman"/>
                <w:i/>
              </w:rPr>
              <w:t>Title II, Part A</w:t>
            </w:r>
          </w:p>
        </w:tc>
        <w:tc>
          <w:tcPr>
            <w:tcW w:w="4065" w:type="dxa"/>
          </w:tcPr>
          <w:p w14:paraId="05D8070F"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Title II, Part A funds educator professional development.</w:t>
            </w:r>
          </w:p>
        </w:tc>
        <w:tc>
          <w:tcPr>
            <w:tcW w:w="3630" w:type="dxa"/>
          </w:tcPr>
          <w:p w14:paraId="4B938BF0"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Can support professional development for in-service educators’ to develop and grow their own SEL competencies and capacity to implement SEL in the classroom.</w:t>
            </w:r>
          </w:p>
        </w:tc>
        <w:tc>
          <w:tcPr>
            <w:tcW w:w="1065" w:type="dxa"/>
          </w:tcPr>
          <w:p w14:paraId="766C4695"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185" w:type="dxa"/>
          </w:tcPr>
          <w:p w14:paraId="32DCBE83"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59856F25"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Formula</w:t>
            </w:r>
          </w:p>
        </w:tc>
        <w:tc>
          <w:tcPr>
            <w:tcW w:w="840" w:type="dxa"/>
          </w:tcPr>
          <w:p w14:paraId="6F05CA30" w14:textId="77777777" w:rsidR="001F50DD" w:rsidRDefault="002135DD">
            <w:pPr>
              <w:widowControl w:val="0"/>
              <w:spacing w:line="240" w:lineRule="auto"/>
              <w:rPr>
                <w:rFonts w:ascii="Times New Roman" w:eastAsia="Times New Roman" w:hAnsi="Times New Roman" w:cs="Times New Roman"/>
              </w:rPr>
            </w:pPr>
            <w:hyperlink r:id="rId7">
              <w:r>
                <w:rPr>
                  <w:rFonts w:ascii="Times New Roman" w:eastAsia="Times New Roman" w:hAnsi="Times New Roman" w:cs="Times New Roman"/>
                  <w:color w:val="1155CC"/>
                  <w:u w:val="single"/>
                </w:rPr>
                <w:t>Link</w:t>
              </w:r>
            </w:hyperlink>
          </w:p>
        </w:tc>
      </w:tr>
      <w:tr w:rsidR="001F50DD" w14:paraId="16FA936A" w14:textId="77777777">
        <w:trPr>
          <w:trHeight w:val="440"/>
        </w:trPr>
        <w:tc>
          <w:tcPr>
            <w:tcW w:w="1635" w:type="dxa"/>
          </w:tcPr>
          <w:p w14:paraId="13D4415A" w14:textId="77777777" w:rsidR="001F50DD" w:rsidRDefault="002135DD">
            <w:pPr>
              <w:spacing w:line="240" w:lineRule="auto"/>
              <w:rPr>
                <w:rFonts w:ascii="Times New Roman" w:eastAsia="Times New Roman" w:hAnsi="Times New Roman" w:cs="Times New Roman"/>
                <w:i/>
              </w:rPr>
            </w:pPr>
            <w:r>
              <w:rPr>
                <w:rFonts w:ascii="Times New Roman" w:eastAsia="Times New Roman" w:hAnsi="Times New Roman" w:cs="Times New Roman"/>
                <w:i/>
              </w:rPr>
              <w:t>Title II, Part B</w:t>
            </w:r>
          </w:p>
        </w:tc>
        <w:tc>
          <w:tcPr>
            <w:tcW w:w="4065" w:type="dxa"/>
          </w:tcPr>
          <w:p w14:paraId="50DBD556"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 xml:space="preserve">The Supporting Effective Educator Development (SEED) program provides funding to eligible entities, including Institutions of Higher Education to increase the number of highly effective educators by supporting the implementation of evidence-based practices that prepare, develop, or </w:t>
            </w:r>
            <w:r>
              <w:rPr>
                <w:rFonts w:ascii="Times New Roman" w:eastAsia="Times New Roman" w:hAnsi="Times New Roman" w:cs="Times New Roman"/>
              </w:rPr>
              <w:lastRenderedPageBreak/>
              <w:t>enhance the skills of teachers, principals, or other school leaders.</w:t>
            </w:r>
          </w:p>
        </w:tc>
        <w:tc>
          <w:tcPr>
            <w:tcW w:w="3630" w:type="dxa"/>
          </w:tcPr>
          <w:p w14:paraId="1C943490"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lastRenderedPageBreak/>
              <w:t>Can support the development of educator preparation programs, which help educators develop strategies to promote SEL and holistic student well-being.</w:t>
            </w:r>
          </w:p>
        </w:tc>
        <w:tc>
          <w:tcPr>
            <w:tcW w:w="2250" w:type="dxa"/>
            <w:gridSpan w:val="2"/>
          </w:tcPr>
          <w:p w14:paraId="7CB13680"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States and districts benefit indirectly see footnote.</w:t>
            </w:r>
            <w:r>
              <w:rPr>
                <w:rFonts w:ascii="Times New Roman" w:eastAsia="Times New Roman" w:hAnsi="Times New Roman" w:cs="Times New Roman"/>
                <w:vertAlign w:val="superscript"/>
              </w:rPr>
              <w:footnoteReference w:id="2"/>
            </w:r>
          </w:p>
        </w:tc>
        <w:tc>
          <w:tcPr>
            <w:tcW w:w="1320" w:type="dxa"/>
          </w:tcPr>
          <w:p w14:paraId="3584C390"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Competitive</w:t>
            </w:r>
            <w:r>
              <w:rPr>
                <w:rFonts w:ascii="Times New Roman" w:eastAsia="Times New Roman" w:hAnsi="Times New Roman" w:cs="Times New Roman"/>
                <w:vertAlign w:val="superscript"/>
              </w:rPr>
              <w:footnoteReference w:id="3"/>
            </w:r>
          </w:p>
        </w:tc>
        <w:tc>
          <w:tcPr>
            <w:tcW w:w="840" w:type="dxa"/>
          </w:tcPr>
          <w:p w14:paraId="414F36EA" w14:textId="77777777" w:rsidR="001F50DD" w:rsidRDefault="002135DD">
            <w:pPr>
              <w:widowControl w:val="0"/>
              <w:spacing w:line="240" w:lineRule="auto"/>
              <w:rPr>
                <w:rFonts w:ascii="Times New Roman" w:eastAsia="Times New Roman" w:hAnsi="Times New Roman" w:cs="Times New Roman"/>
              </w:rPr>
            </w:pPr>
            <w:hyperlink r:id="rId8">
              <w:r>
                <w:rPr>
                  <w:rFonts w:ascii="Times New Roman" w:eastAsia="Times New Roman" w:hAnsi="Times New Roman" w:cs="Times New Roman"/>
                  <w:color w:val="1155CC"/>
                  <w:u w:val="single"/>
                </w:rPr>
                <w:t>Link</w:t>
              </w:r>
            </w:hyperlink>
          </w:p>
        </w:tc>
      </w:tr>
      <w:tr w:rsidR="001F50DD" w14:paraId="0B802CDD" w14:textId="77777777">
        <w:tc>
          <w:tcPr>
            <w:tcW w:w="1635" w:type="dxa"/>
          </w:tcPr>
          <w:p w14:paraId="25F60C45" w14:textId="77777777" w:rsidR="001F50DD" w:rsidRDefault="002135DD">
            <w:pPr>
              <w:rPr>
                <w:rFonts w:ascii="Times New Roman" w:eastAsia="Times New Roman" w:hAnsi="Times New Roman" w:cs="Times New Roman"/>
                <w:i/>
              </w:rPr>
            </w:pPr>
            <w:r>
              <w:rPr>
                <w:rFonts w:ascii="Times New Roman" w:eastAsia="Times New Roman" w:hAnsi="Times New Roman" w:cs="Times New Roman"/>
                <w:i/>
              </w:rPr>
              <w:lastRenderedPageBreak/>
              <w:t>Title III</w:t>
            </w:r>
          </w:p>
          <w:p w14:paraId="6B4186D5" w14:textId="77777777" w:rsidR="001F50DD" w:rsidRDefault="001F50DD">
            <w:pPr>
              <w:rPr>
                <w:rFonts w:ascii="Times New Roman" w:eastAsia="Times New Roman" w:hAnsi="Times New Roman" w:cs="Times New Roman"/>
                <w:b/>
              </w:rPr>
            </w:pPr>
          </w:p>
        </w:tc>
        <w:tc>
          <w:tcPr>
            <w:tcW w:w="4065" w:type="dxa"/>
          </w:tcPr>
          <w:p w14:paraId="4BDE9C6E"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Title III provides funding to improve the English proficiency and academic achievement of English Learners.</w:t>
            </w:r>
          </w:p>
        </w:tc>
        <w:tc>
          <w:tcPr>
            <w:tcW w:w="3630" w:type="dxa"/>
          </w:tcPr>
          <w:p w14:paraId="3623F5F6"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Can support SEL strategies that are culturally responsive and relevant to a school’s students as an effective strategy for strengthening English Learners’ language skills.</w:t>
            </w:r>
          </w:p>
        </w:tc>
        <w:tc>
          <w:tcPr>
            <w:tcW w:w="1065" w:type="dxa"/>
          </w:tcPr>
          <w:p w14:paraId="1C9FBB95"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185" w:type="dxa"/>
          </w:tcPr>
          <w:p w14:paraId="36EBF51B"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1526EC92"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Formula</w:t>
            </w:r>
          </w:p>
        </w:tc>
        <w:tc>
          <w:tcPr>
            <w:tcW w:w="840" w:type="dxa"/>
          </w:tcPr>
          <w:p w14:paraId="114E55C3" w14:textId="77777777" w:rsidR="001F50DD" w:rsidRDefault="002135DD">
            <w:pPr>
              <w:widowControl w:val="0"/>
              <w:spacing w:line="240" w:lineRule="auto"/>
              <w:rPr>
                <w:rFonts w:ascii="Times New Roman" w:eastAsia="Times New Roman" w:hAnsi="Times New Roman" w:cs="Times New Roman"/>
              </w:rPr>
            </w:pPr>
            <w:hyperlink r:id="rId9">
              <w:r>
                <w:rPr>
                  <w:rFonts w:ascii="Times New Roman" w:eastAsia="Times New Roman" w:hAnsi="Times New Roman" w:cs="Times New Roman"/>
                  <w:color w:val="1155CC"/>
                  <w:u w:val="single"/>
                </w:rPr>
                <w:t>Link 1</w:t>
              </w:r>
            </w:hyperlink>
          </w:p>
          <w:p w14:paraId="053CE093" w14:textId="77777777" w:rsidR="001F50DD" w:rsidRDefault="002135DD">
            <w:pPr>
              <w:widowControl w:val="0"/>
              <w:spacing w:line="240" w:lineRule="auto"/>
              <w:rPr>
                <w:rFonts w:ascii="Times New Roman" w:eastAsia="Times New Roman" w:hAnsi="Times New Roman" w:cs="Times New Roman"/>
              </w:rPr>
            </w:pPr>
            <w:hyperlink r:id="rId10">
              <w:r>
                <w:rPr>
                  <w:rFonts w:ascii="Times New Roman" w:eastAsia="Times New Roman" w:hAnsi="Times New Roman" w:cs="Times New Roman"/>
                  <w:color w:val="1155CC"/>
                  <w:u w:val="single"/>
                </w:rPr>
                <w:t>Link 2</w:t>
              </w:r>
            </w:hyperlink>
          </w:p>
        </w:tc>
      </w:tr>
      <w:tr w:rsidR="001F50DD" w14:paraId="69BC9601" w14:textId="77777777">
        <w:tc>
          <w:tcPr>
            <w:tcW w:w="1635" w:type="dxa"/>
          </w:tcPr>
          <w:p w14:paraId="4F45DC5F" w14:textId="77777777" w:rsidR="001F50DD" w:rsidRDefault="002135DD">
            <w:pPr>
              <w:rPr>
                <w:rFonts w:ascii="Times New Roman" w:eastAsia="Times New Roman" w:hAnsi="Times New Roman" w:cs="Times New Roman"/>
                <w:i/>
              </w:rPr>
            </w:pPr>
            <w:r>
              <w:rPr>
                <w:rFonts w:ascii="Times New Roman" w:eastAsia="Times New Roman" w:hAnsi="Times New Roman" w:cs="Times New Roman"/>
                <w:i/>
              </w:rPr>
              <w:t xml:space="preserve">Title IV, Part A </w:t>
            </w:r>
          </w:p>
          <w:p w14:paraId="46240A4B" w14:textId="77777777" w:rsidR="001F50DD" w:rsidRDefault="001F50DD">
            <w:pPr>
              <w:rPr>
                <w:rFonts w:ascii="Times New Roman" w:eastAsia="Times New Roman" w:hAnsi="Times New Roman" w:cs="Times New Roman"/>
                <w:b/>
              </w:rPr>
            </w:pPr>
          </w:p>
        </w:tc>
        <w:tc>
          <w:tcPr>
            <w:tcW w:w="4065" w:type="dxa"/>
          </w:tcPr>
          <w:p w14:paraId="6FABBAA8"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The Student Support and Academic Enrichment block grant program provides funding to improve students’ academic achievement by increasing the capacity of states, districts, and schools to provide all students with a well-rounded education, improve school conditions for student learning, and improve the use of technology to improve the academic achievement and digital literacy of all students.</w:t>
            </w:r>
          </w:p>
        </w:tc>
        <w:tc>
          <w:tcPr>
            <w:tcW w:w="3630" w:type="dxa"/>
          </w:tcPr>
          <w:p w14:paraId="2A24AFF3"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 xml:space="preserve">States and districts can use funding to provide students well-rounded educational experiences, including by increasing student access to and improving student engagement and achievement through activities and programs that contribute to a well-rounded education, and fostering safe and healthy schools, all of which can be supported through leveraging SEL as an evidence-based strategy. </w:t>
            </w:r>
          </w:p>
        </w:tc>
        <w:tc>
          <w:tcPr>
            <w:tcW w:w="1065" w:type="dxa"/>
          </w:tcPr>
          <w:p w14:paraId="5C7ECCED"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185" w:type="dxa"/>
          </w:tcPr>
          <w:p w14:paraId="07887D2A"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1A36584D"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Formula</w:t>
            </w:r>
          </w:p>
        </w:tc>
        <w:tc>
          <w:tcPr>
            <w:tcW w:w="840" w:type="dxa"/>
          </w:tcPr>
          <w:p w14:paraId="31E6439C" w14:textId="77777777" w:rsidR="001F50DD" w:rsidRDefault="002135DD">
            <w:pPr>
              <w:widowControl w:val="0"/>
              <w:spacing w:line="240" w:lineRule="auto"/>
              <w:rPr>
                <w:rFonts w:ascii="Times New Roman" w:eastAsia="Times New Roman" w:hAnsi="Times New Roman" w:cs="Times New Roman"/>
              </w:rPr>
            </w:pPr>
            <w:hyperlink r:id="rId11">
              <w:r>
                <w:rPr>
                  <w:rFonts w:ascii="Times New Roman" w:eastAsia="Times New Roman" w:hAnsi="Times New Roman" w:cs="Times New Roman"/>
                  <w:color w:val="1155CC"/>
                  <w:u w:val="single"/>
                </w:rPr>
                <w:t>Link</w:t>
              </w:r>
            </w:hyperlink>
          </w:p>
        </w:tc>
      </w:tr>
      <w:tr w:rsidR="001F50DD" w14:paraId="291DF6CD" w14:textId="77777777">
        <w:tc>
          <w:tcPr>
            <w:tcW w:w="1635" w:type="dxa"/>
          </w:tcPr>
          <w:p w14:paraId="02D39882" w14:textId="77777777" w:rsidR="001F50DD" w:rsidRDefault="002135DD">
            <w:pPr>
              <w:rPr>
                <w:rFonts w:ascii="Times New Roman" w:eastAsia="Times New Roman" w:hAnsi="Times New Roman" w:cs="Times New Roman"/>
                <w:i/>
              </w:rPr>
            </w:pPr>
            <w:r>
              <w:rPr>
                <w:rFonts w:ascii="Times New Roman" w:eastAsia="Times New Roman" w:hAnsi="Times New Roman" w:cs="Times New Roman"/>
                <w:i/>
              </w:rPr>
              <w:t>Title IV, Part B</w:t>
            </w:r>
          </w:p>
          <w:p w14:paraId="0A8E552C" w14:textId="77777777" w:rsidR="001F50DD" w:rsidRDefault="001F50DD">
            <w:pPr>
              <w:rPr>
                <w:rFonts w:ascii="Times New Roman" w:eastAsia="Times New Roman" w:hAnsi="Times New Roman" w:cs="Times New Roman"/>
                <w:b/>
              </w:rPr>
            </w:pPr>
          </w:p>
        </w:tc>
        <w:tc>
          <w:tcPr>
            <w:tcW w:w="4065" w:type="dxa"/>
          </w:tcPr>
          <w:p w14:paraId="11663755"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The 21st Century Community Learning Centers program supports the creation or expansion of community learning</w:t>
            </w:r>
          </w:p>
          <w:p w14:paraId="196560C8"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lastRenderedPageBreak/>
              <w:t>centers that provide academic enrichment opportunities during non-school hours for children, particularly those from underserved and low-income communities.</w:t>
            </w:r>
          </w:p>
        </w:tc>
        <w:tc>
          <w:tcPr>
            <w:tcW w:w="3630" w:type="dxa"/>
          </w:tcPr>
          <w:p w14:paraId="613EA9FD" w14:textId="77777777" w:rsidR="001F50DD" w:rsidRDefault="002135DD">
            <w:pPr>
              <w:rPr>
                <w:rFonts w:ascii="Times New Roman" w:eastAsia="Times New Roman" w:hAnsi="Times New Roman" w:cs="Times New Roman"/>
                <w:u w:val="single"/>
              </w:rPr>
            </w:pPr>
            <w:r>
              <w:rPr>
                <w:rFonts w:ascii="Times New Roman" w:eastAsia="Times New Roman" w:hAnsi="Times New Roman" w:cs="Times New Roman"/>
              </w:rPr>
              <w:lastRenderedPageBreak/>
              <w:t>Can support SEL as a part of out-of-school time programming.</w:t>
            </w:r>
          </w:p>
        </w:tc>
        <w:tc>
          <w:tcPr>
            <w:tcW w:w="1065" w:type="dxa"/>
          </w:tcPr>
          <w:p w14:paraId="3C0C427D"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185" w:type="dxa"/>
          </w:tcPr>
          <w:p w14:paraId="3D5F8309"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1432D101"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Formula</w:t>
            </w:r>
          </w:p>
        </w:tc>
        <w:tc>
          <w:tcPr>
            <w:tcW w:w="840" w:type="dxa"/>
          </w:tcPr>
          <w:p w14:paraId="7C88D9F1" w14:textId="77777777" w:rsidR="001F50DD" w:rsidRDefault="002135DD">
            <w:pPr>
              <w:widowControl w:val="0"/>
              <w:spacing w:line="240" w:lineRule="auto"/>
              <w:rPr>
                <w:rFonts w:ascii="Times New Roman" w:eastAsia="Times New Roman" w:hAnsi="Times New Roman" w:cs="Times New Roman"/>
              </w:rPr>
            </w:pPr>
            <w:hyperlink r:id="rId12">
              <w:r>
                <w:rPr>
                  <w:rFonts w:ascii="Times New Roman" w:eastAsia="Times New Roman" w:hAnsi="Times New Roman" w:cs="Times New Roman"/>
                  <w:color w:val="1155CC"/>
                  <w:u w:val="single"/>
                </w:rPr>
                <w:t>Link</w:t>
              </w:r>
            </w:hyperlink>
          </w:p>
        </w:tc>
      </w:tr>
      <w:tr w:rsidR="001F50DD" w14:paraId="2DF1CC97" w14:textId="77777777">
        <w:trPr>
          <w:trHeight w:val="2552"/>
        </w:trPr>
        <w:tc>
          <w:tcPr>
            <w:tcW w:w="1635" w:type="dxa"/>
          </w:tcPr>
          <w:p w14:paraId="7D91E0DF" w14:textId="77777777" w:rsidR="001F50DD" w:rsidRDefault="002135DD">
            <w:pPr>
              <w:rPr>
                <w:rFonts w:ascii="Times New Roman" w:eastAsia="Times New Roman" w:hAnsi="Times New Roman" w:cs="Times New Roman"/>
                <w:i/>
              </w:rPr>
            </w:pPr>
            <w:r>
              <w:rPr>
                <w:rFonts w:ascii="Times New Roman" w:eastAsia="Times New Roman" w:hAnsi="Times New Roman" w:cs="Times New Roman"/>
                <w:i/>
              </w:rPr>
              <w:t>Title IV, Part F</w:t>
            </w:r>
          </w:p>
        </w:tc>
        <w:tc>
          <w:tcPr>
            <w:tcW w:w="4065" w:type="dxa"/>
          </w:tcPr>
          <w:p w14:paraId="606CD960"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The Mental Health Services Professional Demonstration Grants program supports innovative partnerships to train school-based mental health service providers for employment in schools and LEAs.</w:t>
            </w:r>
          </w:p>
          <w:p w14:paraId="4ADC1636" w14:textId="77777777" w:rsidR="001F50DD" w:rsidRDefault="001F50DD">
            <w:pPr>
              <w:rPr>
                <w:rFonts w:ascii="Times New Roman" w:eastAsia="Times New Roman" w:hAnsi="Times New Roman" w:cs="Times New Roman"/>
              </w:rPr>
            </w:pPr>
          </w:p>
        </w:tc>
        <w:tc>
          <w:tcPr>
            <w:tcW w:w="3630" w:type="dxa"/>
          </w:tcPr>
          <w:p w14:paraId="784CE364" w14:textId="77777777" w:rsidR="001F50DD" w:rsidRDefault="002135DD">
            <w:pPr>
              <w:rPr>
                <w:rFonts w:ascii="Times New Roman" w:eastAsia="Times New Roman" w:hAnsi="Times New Roman" w:cs="Times New Roman"/>
                <w:u w:val="single"/>
              </w:rPr>
            </w:pPr>
            <w:r>
              <w:rPr>
                <w:rFonts w:ascii="Times New Roman" w:eastAsia="Times New Roman" w:hAnsi="Times New Roman" w:cs="Times New Roman"/>
              </w:rPr>
              <w:t>Can be used to support the pipeline of school-based mental health professionals (e.g., through placements in high-need schools and LEAs to complete training, field hours, etc.), which alongside SEL as a universal mental health prevention strategy can be part of a comprehensive strategy to support student social and emotional needs.</w:t>
            </w:r>
          </w:p>
        </w:tc>
        <w:tc>
          <w:tcPr>
            <w:tcW w:w="1065" w:type="dxa"/>
          </w:tcPr>
          <w:p w14:paraId="38BC61FF" w14:textId="77777777" w:rsidR="001F50DD" w:rsidRDefault="001F50DD">
            <w:pPr>
              <w:rPr>
                <w:rFonts w:ascii="Times New Roman" w:eastAsia="Times New Roman" w:hAnsi="Times New Roman" w:cs="Times New Roman"/>
              </w:rPr>
            </w:pPr>
          </w:p>
        </w:tc>
        <w:tc>
          <w:tcPr>
            <w:tcW w:w="1185" w:type="dxa"/>
          </w:tcPr>
          <w:p w14:paraId="2E08586B"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1134C01D"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Competitive</w:t>
            </w:r>
          </w:p>
        </w:tc>
        <w:tc>
          <w:tcPr>
            <w:tcW w:w="840" w:type="dxa"/>
          </w:tcPr>
          <w:p w14:paraId="2FBAD7B3" w14:textId="77777777" w:rsidR="001F50DD" w:rsidRDefault="002135DD">
            <w:pPr>
              <w:widowControl w:val="0"/>
              <w:spacing w:line="240" w:lineRule="auto"/>
              <w:rPr>
                <w:rFonts w:ascii="Times New Roman" w:eastAsia="Times New Roman" w:hAnsi="Times New Roman" w:cs="Times New Roman"/>
              </w:rPr>
            </w:pPr>
            <w:hyperlink r:id="rId13">
              <w:r>
                <w:rPr>
                  <w:rFonts w:ascii="Times New Roman" w:eastAsia="Times New Roman" w:hAnsi="Times New Roman" w:cs="Times New Roman"/>
                  <w:color w:val="1155CC"/>
                  <w:u w:val="single"/>
                </w:rPr>
                <w:t>Link</w:t>
              </w:r>
            </w:hyperlink>
          </w:p>
        </w:tc>
      </w:tr>
      <w:tr w:rsidR="001F50DD" w14:paraId="222CA060" w14:textId="77777777">
        <w:trPr>
          <w:trHeight w:val="968"/>
        </w:trPr>
        <w:tc>
          <w:tcPr>
            <w:tcW w:w="1635" w:type="dxa"/>
          </w:tcPr>
          <w:p w14:paraId="3042792D" w14:textId="77777777" w:rsidR="001F50DD" w:rsidRDefault="002135DD">
            <w:pPr>
              <w:rPr>
                <w:rFonts w:ascii="Times New Roman" w:eastAsia="Times New Roman" w:hAnsi="Times New Roman" w:cs="Times New Roman"/>
                <w:i/>
              </w:rPr>
            </w:pPr>
            <w:r>
              <w:rPr>
                <w:rFonts w:ascii="Times New Roman" w:eastAsia="Times New Roman" w:hAnsi="Times New Roman" w:cs="Times New Roman"/>
                <w:i/>
              </w:rPr>
              <w:t>Title IV, Part F</w:t>
            </w:r>
          </w:p>
        </w:tc>
        <w:tc>
          <w:tcPr>
            <w:tcW w:w="4065" w:type="dxa"/>
          </w:tcPr>
          <w:p w14:paraId="012F6F4B"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The School-Based Mental Health Services Grants program provides funding to increase the number of credentialed mental health services providers providing school-based mental health services to students in LEAs with demonstrated need.</w:t>
            </w:r>
          </w:p>
        </w:tc>
        <w:tc>
          <w:tcPr>
            <w:tcW w:w="3630" w:type="dxa"/>
          </w:tcPr>
          <w:p w14:paraId="13CD4FB7"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 xml:space="preserve">Can be used to fund the recruitment and retention of school-based mental health professionals in schools. Can also be used to provide retraining to equip existing professionals to serve high-need LEAs, and to increase the number of professionals from diverse </w:t>
            </w:r>
            <w:r>
              <w:rPr>
                <w:rFonts w:ascii="Times New Roman" w:eastAsia="Times New Roman" w:hAnsi="Times New Roman" w:cs="Times New Roman"/>
              </w:rPr>
              <w:lastRenderedPageBreak/>
              <w:t>backgrounds or communities with demonstrated need. Alongside SEL as a universal mental health prevention strategy, school-based mental health services can be part of a comprehensive strategy to support student social and emotional needs.</w:t>
            </w:r>
          </w:p>
        </w:tc>
        <w:tc>
          <w:tcPr>
            <w:tcW w:w="1065" w:type="dxa"/>
          </w:tcPr>
          <w:p w14:paraId="4677CD30"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lastRenderedPageBreak/>
              <w:t>✅</w:t>
            </w:r>
          </w:p>
        </w:tc>
        <w:tc>
          <w:tcPr>
            <w:tcW w:w="1185" w:type="dxa"/>
          </w:tcPr>
          <w:p w14:paraId="7D078822"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24FE72D8"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Competitive</w:t>
            </w:r>
          </w:p>
        </w:tc>
        <w:tc>
          <w:tcPr>
            <w:tcW w:w="840" w:type="dxa"/>
          </w:tcPr>
          <w:p w14:paraId="508890EC" w14:textId="77777777" w:rsidR="001F50DD" w:rsidRDefault="002135DD">
            <w:pPr>
              <w:widowControl w:val="0"/>
              <w:spacing w:line="240" w:lineRule="auto"/>
              <w:rPr>
                <w:rFonts w:ascii="Times New Roman" w:eastAsia="Times New Roman" w:hAnsi="Times New Roman" w:cs="Times New Roman"/>
              </w:rPr>
            </w:pPr>
            <w:hyperlink r:id="rId14">
              <w:r>
                <w:rPr>
                  <w:rFonts w:ascii="Times New Roman" w:eastAsia="Times New Roman" w:hAnsi="Times New Roman" w:cs="Times New Roman"/>
                  <w:color w:val="1155CC"/>
                  <w:u w:val="single"/>
                </w:rPr>
                <w:t>Link</w:t>
              </w:r>
            </w:hyperlink>
          </w:p>
        </w:tc>
      </w:tr>
      <w:tr w:rsidR="001F50DD" w14:paraId="681E30D0" w14:textId="77777777">
        <w:trPr>
          <w:trHeight w:val="440"/>
        </w:trPr>
        <w:tc>
          <w:tcPr>
            <w:tcW w:w="1635" w:type="dxa"/>
          </w:tcPr>
          <w:p w14:paraId="25115945" w14:textId="77777777" w:rsidR="001F50DD" w:rsidRDefault="002135DD">
            <w:pPr>
              <w:rPr>
                <w:rFonts w:ascii="Times New Roman" w:eastAsia="Times New Roman" w:hAnsi="Times New Roman" w:cs="Times New Roman"/>
                <w:i/>
                <w:sz w:val="24"/>
                <w:szCs w:val="24"/>
              </w:rPr>
            </w:pPr>
            <w:r>
              <w:rPr>
                <w:rFonts w:ascii="Times New Roman" w:eastAsia="Times New Roman" w:hAnsi="Times New Roman" w:cs="Times New Roman"/>
                <w:i/>
              </w:rPr>
              <w:t>Title IV, Part F</w:t>
            </w:r>
          </w:p>
        </w:tc>
        <w:tc>
          <w:tcPr>
            <w:tcW w:w="4065" w:type="dxa"/>
          </w:tcPr>
          <w:p w14:paraId="259A701A"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The Full-Service Community Schools program provides support for the planning, implementation, and operation of full-service community schools for children and families, particularly for children attending underserved schools.</w:t>
            </w:r>
          </w:p>
        </w:tc>
        <w:tc>
          <w:tcPr>
            <w:tcW w:w="3630" w:type="dxa"/>
          </w:tcPr>
          <w:p w14:paraId="30CB6C97" w14:textId="77777777" w:rsidR="001F50DD" w:rsidRDefault="002135DD">
            <w:pPr>
              <w:rPr>
                <w:rFonts w:ascii="Times New Roman" w:eastAsia="Times New Roman" w:hAnsi="Times New Roman" w:cs="Times New Roman"/>
                <w:u w:val="single"/>
              </w:rPr>
            </w:pPr>
            <w:r>
              <w:rPr>
                <w:rFonts w:ascii="Times New Roman" w:eastAsia="Times New Roman" w:hAnsi="Times New Roman" w:cs="Times New Roman"/>
              </w:rPr>
              <w:t>Can be leveraged to expand learning models that meet social and emotional needs of children. In particular, past competitions have included a competitive priority</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for projects designed to improve students’ social, emotional, and academic needs. (see Link 2.)  </w:t>
            </w:r>
          </w:p>
        </w:tc>
        <w:tc>
          <w:tcPr>
            <w:tcW w:w="1065" w:type="dxa"/>
          </w:tcPr>
          <w:p w14:paraId="071199DA" w14:textId="77777777" w:rsidR="001F50DD" w:rsidRDefault="001F50DD">
            <w:pPr>
              <w:rPr>
                <w:rFonts w:ascii="Times New Roman" w:eastAsia="Times New Roman" w:hAnsi="Times New Roman" w:cs="Times New Roman"/>
              </w:rPr>
            </w:pPr>
          </w:p>
        </w:tc>
        <w:tc>
          <w:tcPr>
            <w:tcW w:w="1185" w:type="dxa"/>
          </w:tcPr>
          <w:p w14:paraId="4947EE20"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678728B9"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Competitive</w:t>
            </w:r>
          </w:p>
        </w:tc>
        <w:tc>
          <w:tcPr>
            <w:tcW w:w="840" w:type="dxa"/>
          </w:tcPr>
          <w:p w14:paraId="47323F03" w14:textId="77777777" w:rsidR="001F50DD" w:rsidRDefault="002135DD">
            <w:pPr>
              <w:widowControl w:val="0"/>
              <w:spacing w:line="240" w:lineRule="auto"/>
              <w:rPr>
                <w:rFonts w:ascii="Times New Roman" w:eastAsia="Times New Roman" w:hAnsi="Times New Roman" w:cs="Times New Roman"/>
              </w:rPr>
            </w:pPr>
            <w:hyperlink r:id="rId15">
              <w:r>
                <w:rPr>
                  <w:rFonts w:ascii="Times New Roman" w:eastAsia="Times New Roman" w:hAnsi="Times New Roman" w:cs="Times New Roman"/>
                  <w:color w:val="1155CC"/>
                  <w:u w:val="single"/>
                </w:rPr>
                <w:t>Link 1</w:t>
              </w:r>
            </w:hyperlink>
          </w:p>
          <w:p w14:paraId="6DA82EF4" w14:textId="77777777" w:rsidR="001F50DD" w:rsidRDefault="002135DD">
            <w:pPr>
              <w:widowControl w:val="0"/>
              <w:spacing w:line="240" w:lineRule="auto"/>
              <w:rPr>
                <w:rFonts w:ascii="Times New Roman" w:eastAsia="Times New Roman" w:hAnsi="Times New Roman" w:cs="Times New Roman"/>
              </w:rPr>
            </w:pPr>
            <w:hyperlink r:id="rId16" w:anchor="p-62">
              <w:r>
                <w:rPr>
                  <w:rFonts w:ascii="Times New Roman" w:eastAsia="Times New Roman" w:hAnsi="Times New Roman" w:cs="Times New Roman"/>
                  <w:color w:val="1155CC"/>
                  <w:u w:val="single"/>
                </w:rPr>
                <w:t>Link 2</w:t>
              </w:r>
            </w:hyperlink>
          </w:p>
        </w:tc>
      </w:tr>
      <w:tr w:rsidR="001F50DD" w14:paraId="0E5356A2" w14:textId="77777777">
        <w:trPr>
          <w:trHeight w:val="440"/>
        </w:trPr>
        <w:tc>
          <w:tcPr>
            <w:tcW w:w="1635" w:type="dxa"/>
          </w:tcPr>
          <w:p w14:paraId="6943843C" w14:textId="77777777" w:rsidR="001F50DD" w:rsidRDefault="002135DD">
            <w:pPr>
              <w:rPr>
                <w:rFonts w:ascii="Times New Roman" w:eastAsia="Times New Roman" w:hAnsi="Times New Roman" w:cs="Times New Roman"/>
                <w:i/>
                <w:sz w:val="24"/>
                <w:szCs w:val="24"/>
              </w:rPr>
            </w:pPr>
            <w:r>
              <w:rPr>
                <w:rFonts w:ascii="Times New Roman" w:eastAsia="Times New Roman" w:hAnsi="Times New Roman" w:cs="Times New Roman"/>
                <w:i/>
              </w:rPr>
              <w:t>Title IV, Part F</w:t>
            </w:r>
          </w:p>
        </w:tc>
        <w:tc>
          <w:tcPr>
            <w:tcW w:w="4065" w:type="dxa"/>
          </w:tcPr>
          <w:p w14:paraId="5E34E87B" w14:textId="77777777" w:rsidR="001F50DD" w:rsidRDefault="002135DD">
            <w:pPr>
              <w:rPr>
                <w:rFonts w:ascii="Times New Roman" w:eastAsia="Times New Roman" w:hAnsi="Times New Roman" w:cs="Times New Roman"/>
                <w:color w:val="030A13"/>
              </w:rPr>
            </w:pPr>
            <w:r>
              <w:rPr>
                <w:rFonts w:ascii="Times New Roman" w:eastAsia="Times New Roman" w:hAnsi="Times New Roman" w:cs="Times New Roman"/>
              </w:rPr>
              <w:t xml:space="preserve">Project Prevent Grants provide funds to help </w:t>
            </w:r>
            <w:r>
              <w:rPr>
                <w:rFonts w:ascii="Times New Roman" w:eastAsia="Times New Roman" w:hAnsi="Times New Roman" w:cs="Times New Roman"/>
                <w:color w:val="030A13"/>
              </w:rPr>
              <w:t>schools in communities with pervasive violence to help prevent community violence and mitigate the impacts of exposure to community violence.</w:t>
            </w:r>
          </w:p>
        </w:tc>
        <w:tc>
          <w:tcPr>
            <w:tcW w:w="3630" w:type="dxa"/>
          </w:tcPr>
          <w:p w14:paraId="2EC7AC19" w14:textId="77777777" w:rsidR="001F50DD" w:rsidRDefault="002135DD">
            <w:pPr>
              <w:rPr>
                <w:rFonts w:ascii="Times New Roman" w:eastAsia="Times New Roman" w:hAnsi="Times New Roman" w:cs="Times New Roman"/>
                <w:color w:val="030A13"/>
              </w:rPr>
            </w:pPr>
            <w:r>
              <w:rPr>
                <w:rFonts w:ascii="Times New Roman" w:eastAsia="Times New Roman" w:hAnsi="Times New Roman" w:cs="Times New Roman"/>
              </w:rPr>
              <w:t xml:space="preserve">Can be leveraged to offer students social and emotional supports as a part of </w:t>
            </w:r>
            <w:r>
              <w:rPr>
                <w:rFonts w:ascii="Times New Roman" w:eastAsia="Times New Roman" w:hAnsi="Times New Roman" w:cs="Times New Roman"/>
                <w:color w:val="030A13"/>
              </w:rPr>
              <w:t>addressing the effects of community violence and providing a safer and improved school environment.</w:t>
            </w:r>
          </w:p>
        </w:tc>
        <w:tc>
          <w:tcPr>
            <w:tcW w:w="1065" w:type="dxa"/>
          </w:tcPr>
          <w:p w14:paraId="3D2206C3" w14:textId="77777777" w:rsidR="001F50DD" w:rsidRDefault="001F50DD">
            <w:pPr>
              <w:rPr>
                <w:rFonts w:ascii="Times New Roman" w:eastAsia="Times New Roman" w:hAnsi="Times New Roman" w:cs="Times New Roman"/>
              </w:rPr>
            </w:pPr>
          </w:p>
        </w:tc>
        <w:tc>
          <w:tcPr>
            <w:tcW w:w="1185" w:type="dxa"/>
          </w:tcPr>
          <w:p w14:paraId="5D6A2BD9"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4D2108D6"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Competitive</w:t>
            </w:r>
          </w:p>
        </w:tc>
        <w:tc>
          <w:tcPr>
            <w:tcW w:w="840" w:type="dxa"/>
          </w:tcPr>
          <w:p w14:paraId="075CCDE4" w14:textId="77777777" w:rsidR="001F50DD" w:rsidRDefault="002135DD">
            <w:pPr>
              <w:widowControl w:val="0"/>
              <w:spacing w:line="240" w:lineRule="auto"/>
              <w:rPr>
                <w:rFonts w:ascii="Times New Roman" w:eastAsia="Times New Roman" w:hAnsi="Times New Roman" w:cs="Times New Roman"/>
              </w:rPr>
            </w:pPr>
            <w:hyperlink r:id="rId17">
              <w:r>
                <w:rPr>
                  <w:rFonts w:ascii="Times New Roman" w:eastAsia="Times New Roman" w:hAnsi="Times New Roman" w:cs="Times New Roman"/>
                  <w:color w:val="1155CC"/>
                  <w:u w:val="single"/>
                </w:rPr>
                <w:t>Link</w:t>
              </w:r>
            </w:hyperlink>
          </w:p>
        </w:tc>
      </w:tr>
      <w:tr w:rsidR="001F50DD" w14:paraId="2141B223" w14:textId="77777777">
        <w:trPr>
          <w:trHeight w:val="440"/>
        </w:trPr>
        <w:tc>
          <w:tcPr>
            <w:tcW w:w="1635" w:type="dxa"/>
          </w:tcPr>
          <w:p w14:paraId="2E2F3E2C" w14:textId="77777777" w:rsidR="001F50DD" w:rsidRDefault="002135DD">
            <w:pPr>
              <w:rPr>
                <w:rFonts w:ascii="Times New Roman" w:eastAsia="Times New Roman" w:hAnsi="Times New Roman" w:cs="Times New Roman"/>
                <w:i/>
                <w:sz w:val="24"/>
                <w:szCs w:val="24"/>
              </w:rPr>
            </w:pPr>
            <w:r>
              <w:rPr>
                <w:rFonts w:ascii="Times New Roman" w:eastAsia="Times New Roman" w:hAnsi="Times New Roman" w:cs="Times New Roman"/>
                <w:i/>
              </w:rPr>
              <w:lastRenderedPageBreak/>
              <w:t>Title IV, Part F</w:t>
            </w:r>
          </w:p>
        </w:tc>
        <w:tc>
          <w:tcPr>
            <w:tcW w:w="4065" w:type="dxa"/>
          </w:tcPr>
          <w:p w14:paraId="6570F619" w14:textId="77777777" w:rsidR="001F50DD" w:rsidRDefault="002135DD">
            <w:pPr>
              <w:shd w:val="clear" w:color="auto" w:fill="FFFFFF"/>
              <w:rPr>
                <w:rFonts w:ascii="Times New Roman" w:eastAsia="Times New Roman" w:hAnsi="Times New Roman" w:cs="Times New Roman"/>
              </w:rPr>
            </w:pPr>
            <w:r>
              <w:rPr>
                <w:rFonts w:ascii="Times New Roman" w:eastAsia="Times New Roman" w:hAnsi="Times New Roman" w:cs="Times New Roman"/>
              </w:rPr>
              <w:t>The School Climate Transformation Grants program provides funds to develop, enhance, or expand states’ systems of support for, and technical assistance to, districts and schools implementing an evidence-based, multi-tiered behavioral framework for improving behavioral outcomes and learning conditions for all students.</w:t>
            </w:r>
          </w:p>
        </w:tc>
        <w:tc>
          <w:tcPr>
            <w:tcW w:w="3630" w:type="dxa"/>
          </w:tcPr>
          <w:p w14:paraId="399E0E4D" w14:textId="77777777" w:rsidR="001F50DD" w:rsidRDefault="002135DD">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Can be used to implement, integrate, and expand SEL as an evidence-based practice for improving school climate and supporting student social and emotional needs and overall well-being. </w:t>
            </w:r>
          </w:p>
        </w:tc>
        <w:tc>
          <w:tcPr>
            <w:tcW w:w="1065" w:type="dxa"/>
          </w:tcPr>
          <w:p w14:paraId="7F97650E"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185" w:type="dxa"/>
          </w:tcPr>
          <w:p w14:paraId="6E0CB60E"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78B12D8B" w14:textId="77777777" w:rsidR="001F50DD" w:rsidRDefault="002135DD">
            <w:pPr>
              <w:shd w:val="clear" w:color="auto" w:fill="FFFFFF"/>
              <w:rPr>
                <w:rFonts w:ascii="Times New Roman" w:eastAsia="Times New Roman" w:hAnsi="Times New Roman" w:cs="Times New Roman"/>
              </w:rPr>
            </w:pPr>
            <w:r>
              <w:rPr>
                <w:rFonts w:ascii="Times New Roman" w:eastAsia="Times New Roman" w:hAnsi="Times New Roman" w:cs="Times New Roman"/>
              </w:rPr>
              <w:t>Competitive</w:t>
            </w:r>
          </w:p>
        </w:tc>
        <w:tc>
          <w:tcPr>
            <w:tcW w:w="840" w:type="dxa"/>
          </w:tcPr>
          <w:p w14:paraId="402D3471" w14:textId="77777777" w:rsidR="001F50DD" w:rsidRDefault="002135DD">
            <w:pPr>
              <w:widowControl w:val="0"/>
              <w:spacing w:line="240" w:lineRule="auto"/>
              <w:rPr>
                <w:rFonts w:ascii="Times New Roman" w:eastAsia="Times New Roman" w:hAnsi="Times New Roman" w:cs="Times New Roman"/>
              </w:rPr>
            </w:pPr>
            <w:hyperlink r:id="rId18">
              <w:r>
                <w:rPr>
                  <w:rFonts w:ascii="Times New Roman" w:eastAsia="Times New Roman" w:hAnsi="Times New Roman" w:cs="Times New Roman"/>
                  <w:color w:val="1155CC"/>
                  <w:u w:val="single"/>
                </w:rPr>
                <w:t>Link</w:t>
              </w:r>
            </w:hyperlink>
          </w:p>
        </w:tc>
      </w:tr>
      <w:tr w:rsidR="001F50DD" w14:paraId="5EB0DFAB" w14:textId="77777777">
        <w:trPr>
          <w:trHeight w:val="440"/>
        </w:trPr>
        <w:tc>
          <w:tcPr>
            <w:tcW w:w="1635" w:type="dxa"/>
          </w:tcPr>
          <w:p w14:paraId="705BAF72" w14:textId="77777777" w:rsidR="001F50DD" w:rsidRDefault="002135DD">
            <w:pPr>
              <w:rPr>
                <w:rFonts w:ascii="Times New Roman" w:eastAsia="Times New Roman" w:hAnsi="Times New Roman" w:cs="Times New Roman"/>
                <w:b/>
                <w:sz w:val="24"/>
                <w:szCs w:val="24"/>
              </w:rPr>
            </w:pPr>
            <w:r>
              <w:rPr>
                <w:rFonts w:ascii="Times New Roman" w:eastAsia="Times New Roman" w:hAnsi="Times New Roman" w:cs="Times New Roman"/>
                <w:b/>
              </w:rPr>
              <w:t>Title IV, Part F</w:t>
            </w:r>
          </w:p>
        </w:tc>
        <w:tc>
          <w:tcPr>
            <w:tcW w:w="4065" w:type="dxa"/>
          </w:tcPr>
          <w:p w14:paraId="0866943D" w14:textId="77777777" w:rsidR="001F50DD" w:rsidRDefault="002135DD">
            <w:pPr>
              <w:shd w:val="clear" w:color="auto" w:fill="FFFFFF"/>
              <w:rPr>
                <w:rFonts w:ascii="Times New Roman" w:eastAsia="Times New Roman" w:hAnsi="Times New Roman" w:cs="Times New Roman"/>
              </w:rPr>
            </w:pPr>
            <w:r>
              <w:rPr>
                <w:rFonts w:ascii="Times New Roman" w:eastAsia="Times New Roman" w:hAnsi="Times New Roman" w:cs="Times New Roman"/>
              </w:rPr>
              <w:t>The Education Innovation and Research Grants program provides funds to create, develop, implement, replicate, evaluate and/or take-to-scale evidence-based innovations to improve achievement and attainment for high-need students.</w:t>
            </w:r>
          </w:p>
        </w:tc>
        <w:tc>
          <w:tcPr>
            <w:tcW w:w="3630" w:type="dxa"/>
          </w:tcPr>
          <w:p w14:paraId="6251AA52" w14:textId="77777777" w:rsidR="001F50DD" w:rsidRDefault="002135DD">
            <w:pPr>
              <w:shd w:val="clear" w:color="auto" w:fill="FFFFFF"/>
              <w:rPr>
                <w:rFonts w:ascii="Times New Roman" w:eastAsia="Times New Roman" w:hAnsi="Times New Roman" w:cs="Times New Roman"/>
              </w:rPr>
            </w:pPr>
            <w:r>
              <w:rPr>
                <w:rFonts w:ascii="Times New Roman" w:eastAsia="Times New Roman" w:hAnsi="Times New Roman" w:cs="Times New Roman"/>
              </w:rPr>
              <w:t>In partnership with eligible partners with expertise in research and evaluation, states and districts can be partners in EIR SEL grants that  test, refine, and implement approaches that leverage SEL at schools and districts while evaluating and further building the field’s evidence base.</w:t>
            </w:r>
          </w:p>
          <w:p w14:paraId="71FFF489" w14:textId="77777777" w:rsidR="001F50DD" w:rsidRDefault="001F50DD">
            <w:pPr>
              <w:shd w:val="clear" w:color="auto" w:fill="FFFFFF"/>
              <w:rPr>
                <w:rFonts w:ascii="Times New Roman" w:eastAsia="Times New Roman" w:hAnsi="Times New Roman" w:cs="Times New Roman"/>
              </w:rPr>
            </w:pPr>
          </w:p>
          <w:p w14:paraId="0355296E" w14:textId="77777777" w:rsidR="001F50DD" w:rsidRDefault="002135DD">
            <w:pPr>
              <w:shd w:val="clear" w:color="auto" w:fill="FFFFFF"/>
              <w:rPr>
                <w:rFonts w:ascii="Times New Roman" w:eastAsia="Times New Roman" w:hAnsi="Times New Roman" w:cs="Times New Roman"/>
              </w:rPr>
            </w:pPr>
            <w:r>
              <w:rPr>
                <w:rFonts w:ascii="Times New Roman" w:eastAsia="Times New Roman" w:hAnsi="Times New Roman" w:cs="Times New Roman"/>
              </w:rPr>
              <w:t>Of note, early and mid-phase EIR grants have an absolute priority</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for SEL, which includes projects designed to “improve students’ social, </w:t>
            </w:r>
            <w:r>
              <w:rPr>
                <w:rFonts w:ascii="Times New Roman" w:eastAsia="Times New Roman" w:hAnsi="Times New Roman" w:cs="Times New Roman"/>
              </w:rPr>
              <w:lastRenderedPageBreak/>
              <w:t>emotional, academic, and career development, with a focus on underserved students.” (See Links 2 and 3.)</w:t>
            </w:r>
          </w:p>
        </w:tc>
        <w:tc>
          <w:tcPr>
            <w:tcW w:w="1065" w:type="dxa"/>
          </w:tcPr>
          <w:p w14:paraId="75230599"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lastRenderedPageBreak/>
              <w:t>✅</w:t>
            </w:r>
          </w:p>
        </w:tc>
        <w:tc>
          <w:tcPr>
            <w:tcW w:w="1185" w:type="dxa"/>
          </w:tcPr>
          <w:p w14:paraId="5B9AB7F8"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20" w:type="dxa"/>
          </w:tcPr>
          <w:p w14:paraId="59907989" w14:textId="77777777" w:rsidR="001F50DD" w:rsidRDefault="002135DD">
            <w:pPr>
              <w:shd w:val="clear" w:color="auto" w:fill="FFFFFF"/>
              <w:rPr>
                <w:rFonts w:ascii="Times New Roman" w:eastAsia="Times New Roman" w:hAnsi="Times New Roman" w:cs="Times New Roman"/>
              </w:rPr>
            </w:pPr>
            <w:r>
              <w:rPr>
                <w:rFonts w:ascii="Times New Roman" w:eastAsia="Times New Roman" w:hAnsi="Times New Roman" w:cs="Times New Roman"/>
              </w:rPr>
              <w:t>Competitive</w:t>
            </w:r>
          </w:p>
        </w:tc>
        <w:tc>
          <w:tcPr>
            <w:tcW w:w="840" w:type="dxa"/>
          </w:tcPr>
          <w:p w14:paraId="169371CF" w14:textId="77777777" w:rsidR="001F50DD" w:rsidRDefault="002135DD">
            <w:pPr>
              <w:widowControl w:val="0"/>
              <w:spacing w:line="240" w:lineRule="auto"/>
              <w:rPr>
                <w:rFonts w:ascii="Times New Roman" w:eastAsia="Times New Roman" w:hAnsi="Times New Roman" w:cs="Times New Roman"/>
              </w:rPr>
            </w:pPr>
            <w:hyperlink r:id="rId19">
              <w:r>
                <w:rPr>
                  <w:rFonts w:ascii="Times New Roman" w:eastAsia="Times New Roman" w:hAnsi="Times New Roman" w:cs="Times New Roman"/>
                  <w:color w:val="1155CC"/>
                  <w:u w:val="single"/>
                </w:rPr>
                <w:t>Link 1</w:t>
              </w:r>
            </w:hyperlink>
          </w:p>
          <w:p w14:paraId="3181E166" w14:textId="77777777" w:rsidR="001F50DD" w:rsidRDefault="002135DD">
            <w:pPr>
              <w:widowControl w:val="0"/>
              <w:spacing w:line="240" w:lineRule="auto"/>
              <w:rPr>
                <w:rFonts w:ascii="Times New Roman" w:eastAsia="Times New Roman" w:hAnsi="Times New Roman" w:cs="Times New Roman"/>
              </w:rPr>
            </w:pPr>
            <w:hyperlink r:id="rId20">
              <w:r>
                <w:rPr>
                  <w:rFonts w:ascii="Times New Roman" w:eastAsia="Times New Roman" w:hAnsi="Times New Roman" w:cs="Times New Roman"/>
                  <w:color w:val="1155CC"/>
                  <w:u w:val="single"/>
                </w:rPr>
                <w:t>Link 2</w:t>
              </w:r>
            </w:hyperlink>
            <w:r>
              <w:rPr>
                <w:rFonts w:ascii="Times New Roman" w:eastAsia="Times New Roman" w:hAnsi="Times New Roman" w:cs="Times New Roman"/>
              </w:rPr>
              <w:t xml:space="preserve"> </w:t>
            </w:r>
            <w:hyperlink r:id="rId21">
              <w:r>
                <w:rPr>
                  <w:rFonts w:ascii="Times New Roman" w:eastAsia="Times New Roman" w:hAnsi="Times New Roman" w:cs="Times New Roman"/>
                  <w:color w:val="1155CC"/>
                  <w:u w:val="single"/>
                </w:rPr>
                <w:t>Link 3</w:t>
              </w:r>
            </w:hyperlink>
          </w:p>
        </w:tc>
      </w:tr>
    </w:tbl>
    <w:p w14:paraId="42818640" w14:textId="77777777" w:rsidR="001F50DD" w:rsidRDefault="001F50DD">
      <w:pPr>
        <w:rPr>
          <w:rFonts w:ascii="Times New Roman" w:eastAsia="Times New Roman" w:hAnsi="Times New Roman" w:cs="Times New Roman"/>
          <w:b/>
          <w:sz w:val="2"/>
          <w:szCs w:val="2"/>
        </w:rPr>
      </w:pPr>
    </w:p>
    <w:p w14:paraId="7E082B00" w14:textId="77777777" w:rsidR="001F50DD" w:rsidRDefault="001F50DD">
      <w:pPr>
        <w:rPr>
          <w:rFonts w:ascii="Times New Roman" w:eastAsia="Times New Roman" w:hAnsi="Times New Roman" w:cs="Times New Roman"/>
          <w:b/>
          <w:sz w:val="2"/>
          <w:szCs w:val="2"/>
        </w:rPr>
      </w:pPr>
    </w:p>
    <w:p w14:paraId="1A669278" w14:textId="77777777" w:rsidR="001F50DD" w:rsidRDefault="001F50DD">
      <w:pPr>
        <w:rPr>
          <w:rFonts w:ascii="Times New Roman" w:eastAsia="Times New Roman" w:hAnsi="Times New Roman" w:cs="Times New Roman"/>
          <w:b/>
          <w:sz w:val="2"/>
          <w:szCs w:val="2"/>
        </w:rPr>
      </w:pPr>
    </w:p>
    <w:p w14:paraId="6C0DB59F" w14:textId="77777777" w:rsidR="001F50DD" w:rsidRDefault="001F50DD">
      <w:pPr>
        <w:rPr>
          <w:rFonts w:ascii="Times New Roman" w:eastAsia="Times New Roman" w:hAnsi="Times New Roman" w:cs="Times New Roman"/>
          <w:b/>
          <w:sz w:val="2"/>
          <w:szCs w:val="2"/>
        </w:rPr>
      </w:pPr>
    </w:p>
    <w:p w14:paraId="64FD7F28" w14:textId="77777777" w:rsidR="001F50DD" w:rsidRDefault="001F50DD">
      <w:pPr>
        <w:rPr>
          <w:rFonts w:ascii="Times New Roman" w:eastAsia="Times New Roman" w:hAnsi="Times New Roman" w:cs="Times New Roman"/>
          <w:b/>
          <w:sz w:val="2"/>
          <w:szCs w:val="2"/>
        </w:rPr>
      </w:pPr>
    </w:p>
    <w:p w14:paraId="6C041F09" w14:textId="77777777" w:rsidR="001F50DD" w:rsidRDefault="001F50DD">
      <w:pPr>
        <w:rPr>
          <w:rFonts w:ascii="Times New Roman" w:eastAsia="Times New Roman" w:hAnsi="Times New Roman" w:cs="Times New Roman"/>
          <w:b/>
          <w:sz w:val="2"/>
          <w:szCs w:val="2"/>
        </w:rPr>
      </w:pPr>
    </w:p>
    <w:p w14:paraId="75277F9F" w14:textId="77777777" w:rsidR="001F50DD" w:rsidRDefault="001F50DD">
      <w:pPr>
        <w:rPr>
          <w:rFonts w:ascii="Times New Roman" w:eastAsia="Times New Roman" w:hAnsi="Times New Roman" w:cs="Times New Roman"/>
          <w:b/>
          <w:sz w:val="2"/>
          <w:szCs w:val="2"/>
        </w:rPr>
      </w:pPr>
    </w:p>
    <w:p w14:paraId="0757F193" w14:textId="77777777" w:rsidR="001F50DD" w:rsidRDefault="001F50DD">
      <w:pPr>
        <w:rPr>
          <w:rFonts w:ascii="Times New Roman" w:eastAsia="Times New Roman" w:hAnsi="Times New Roman" w:cs="Times New Roman"/>
          <w:b/>
          <w:sz w:val="2"/>
          <w:szCs w:val="2"/>
        </w:rPr>
      </w:pPr>
    </w:p>
    <w:p w14:paraId="53DB3CCA" w14:textId="77777777" w:rsidR="001F50DD" w:rsidRDefault="001F50DD">
      <w:pPr>
        <w:rPr>
          <w:rFonts w:ascii="Times New Roman" w:eastAsia="Times New Roman" w:hAnsi="Times New Roman" w:cs="Times New Roman"/>
          <w:b/>
          <w:sz w:val="2"/>
          <w:szCs w:val="2"/>
        </w:rPr>
      </w:pPr>
    </w:p>
    <w:p w14:paraId="1CB7E78E" w14:textId="77777777" w:rsidR="001F50DD" w:rsidRDefault="001F50DD">
      <w:pPr>
        <w:rPr>
          <w:rFonts w:ascii="Times New Roman" w:eastAsia="Times New Roman" w:hAnsi="Times New Roman" w:cs="Times New Roman"/>
          <w:b/>
          <w:sz w:val="2"/>
          <w:szCs w:val="2"/>
        </w:rPr>
      </w:pPr>
    </w:p>
    <w:p w14:paraId="563AE1B7" w14:textId="77777777" w:rsidR="001F50DD" w:rsidRDefault="001F50DD">
      <w:pPr>
        <w:rPr>
          <w:rFonts w:ascii="Times New Roman" w:eastAsia="Times New Roman" w:hAnsi="Times New Roman" w:cs="Times New Roman"/>
          <w:b/>
          <w:sz w:val="2"/>
          <w:szCs w:val="2"/>
        </w:rPr>
      </w:pPr>
    </w:p>
    <w:p w14:paraId="2BF20CFD" w14:textId="77777777" w:rsidR="001F50DD" w:rsidRDefault="001F50DD">
      <w:pPr>
        <w:rPr>
          <w:rFonts w:ascii="Times New Roman" w:eastAsia="Times New Roman" w:hAnsi="Times New Roman" w:cs="Times New Roman"/>
          <w:b/>
          <w:sz w:val="2"/>
          <w:szCs w:val="2"/>
        </w:rPr>
      </w:pPr>
    </w:p>
    <w:p w14:paraId="7FE901C6" w14:textId="77777777" w:rsidR="001F50DD" w:rsidRDefault="001F50DD">
      <w:pPr>
        <w:rPr>
          <w:rFonts w:ascii="Times New Roman" w:eastAsia="Times New Roman" w:hAnsi="Times New Roman" w:cs="Times New Roman"/>
          <w:b/>
          <w:sz w:val="2"/>
          <w:szCs w:val="2"/>
        </w:rPr>
      </w:pPr>
    </w:p>
    <w:p w14:paraId="28F60E27" w14:textId="77777777" w:rsidR="001F50DD" w:rsidRDefault="001F50DD">
      <w:pPr>
        <w:rPr>
          <w:rFonts w:ascii="Times New Roman" w:eastAsia="Times New Roman" w:hAnsi="Times New Roman" w:cs="Times New Roman"/>
          <w:b/>
          <w:sz w:val="2"/>
          <w:szCs w:val="2"/>
        </w:rPr>
      </w:pPr>
    </w:p>
    <w:p w14:paraId="0289C683" w14:textId="77777777" w:rsidR="001F50DD" w:rsidRDefault="001F50DD">
      <w:pPr>
        <w:rPr>
          <w:rFonts w:ascii="Times New Roman" w:eastAsia="Times New Roman" w:hAnsi="Times New Roman" w:cs="Times New Roman"/>
          <w:b/>
          <w:sz w:val="2"/>
          <w:szCs w:val="2"/>
        </w:rPr>
      </w:pPr>
    </w:p>
    <w:p w14:paraId="7A9148FB" w14:textId="77777777" w:rsidR="001F50DD" w:rsidRDefault="001F50DD">
      <w:pPr>
        <w:ind w:left="-360" w:right="-90"/>
        <w:rPr>
          <w:rFonts w:ascii="Times New Roman" w:eastAsia="Times New Roman" w:hAnsi="Times New Roman" w:cs="Times New Roman"/>
          <w:b/>
          <w:sz w:val="2"/>
          <w:szCs w:val="2"/>
        </w:rPr>
      </w:pPr>
    </w:p>
    <w:tbl>
      <w:tblPr>
        <w:tblStyle w:val="a0"/>
        <w:tblpPr w:leftFromText="180" w:rightFromText="180" w:topFromText="180" w:bottomFromText="180" w:vertAnchor="text" w:tblpX="-390"/>
        <w:tblW w:w="14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3735"/>
        <w:gridCol w:w="3750"/>
        <w:gridCol w:w="885"/>
        <w:gridCol w:w="930"/>
        <w:gridCol w:w="1440"/>
        <w:gridCol w:w="840"/>
      </w:tblGrid>
      <w:tr w:rsidR="001F50DD" w14:paraId="36CF8696" w14:textId="77777777">
        <w:trPr>
          <w:trHeight w:val="440"/>
        </w:trPr>
        <w:tc>
          <w:tcPr>
            <w:tcW w:w="14130" w:type="dxa"/>
            <w:gridSpan w:val="7"/>
            <w:shd w:val="clear" w:color="auto" w:fill="D9D9D9"/>
          </w:tcPr>
          <w:p w14:paraId="32A9CAA2" w14:textId="77777777" w:rsidR="001F50DD" w:rsidRDefault="002135DD">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U.S. Department of Education</w:t>
            </w:r>
          </w:p>
        </w:tc>
      </w:tr>
      <w:tr w:rsidR="001F50DD" w14:paraId="6F9B5929" w14:textId="77777777">
        <w:trPr>
          <w:trHeight w:val="440"/>
        </w:trPr>
        <w:tc>
          <w:tcPr>
            <w:tcW w:w="14130" w:type="dxa"/>
            <w:gridSpan w:val="7"/>
            <w:shd w:val="clear" w:color="auto" w:fill="A4C2F4"/>
          </w:tcPr>
          <w:p w14:paraId="526B0B3F" w14:textId="77777777" w:rsidR="001F50DD" w:rsidRDefault="002135DD">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Bipartisan Safer Communities Act</w:t>
            </w:r>
          </w:p>
        </w:tc>
      </w:tr>
      <w:tr w:rsidR="001F50DD" w14:paraId="77E1FBB1" w14:textId="77777777">
        <w:trPr>
          <w:trHeight w:val="440"/>
        </w:trPr>
        <w:tc>
          <w:tcPr>
            <w:tcW w:w="2550" w:type="dxa"/>
          </w:tcPr>
          <w:p w14:paraId="35B85B9A"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Title</w:t>
            </w:r>
          </w:p>
        </w:tc>
        <w:tc>
          <w:tcPr>
            <w:tcW w:w="3735" w:type="dxa"/>
          </w:tcPr>
          <w:p w14:paraId="7C9EF763"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About the Grant Program</w:t>
            </w:r>
          </w:p>
        </w:tc>
        <w:tc>
          <w:tcPr>
            <w:tcW w:w="3750" w:type="dxa"/>
          </w:tcPr>
          <w:p w14:paraId="79858600"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How It Can Support SEL</w:t>
            </w:r>
          </w:p>
        </w:tc>
        <w:tc>
          <w:tcPr>
            <w:tcW w:w="885" w:type="dxa"/>
          </w:tcPr>
          <w:p w14:paraId="1272A3B7" w14:textId="77777777" w:rsidR="001F50DD" w:rsidRDefault="002135DD">
            <w:pPr>
              <w:jc w:val="center"/>
              <w:rPr>
                <w:rFonts w:ascii="Times New Roman" w:eastAsia="Times New Roman" w:hAnsi="Times New Roman" w:cs="Times New Roman"/>
              </w:rPr>
            </w:pPr>
            <w:r>
              <w:rPr>
                <w:rFonts w:ascii="Times New Roman" w:eastAsia="Times New Roman" w:hAnsi="Times New Roman" w:cs="Times New Roman"/>
                <w:b/>
              </w:rPr>
              <w:t>States</w:t>
            </w:r>
            <w:r>
              <w:rPr>
                <w:rFonts w:ascii="Times New Roman" w:eastAsia="Times New Roman" w:hAnsi="Times New Roman" w:cs="Times New Roman"/>
              </w:rPr>
              <w:t>?</w:t>
            </w:r>
          </w:p>
        </w:tc>
        <w:tc>
          <w:tcPr>
            <w:tcW w:w="930" w:type="dxa"/>
          </w:tcPr>
          <w:p w14:paraId="52FF64BE" w14:textId="77777777" w:rsidR="001F50DD" w:rsidRDefault="002135DD">
            <w:pPr>
              <w:jc w:val="center"/>
              <w:rPr>
                <w:rFonts w:ascii="Times New Roman" w:eastAsia="Times New Roman" w:hAnsi="Times New Roman" w:cs="Times New Roman"/>
                <w:b/>
              </w:rPr>
            </w:pPr>
            <w:r>
              <w:rPr>
                <w:rFonts w:ascii="Times New Roman" w:eastAsia="Times New Roman" w:hAnsi="Times New Roman" w:cs="Times New Roman"/>
                <w:b/>
              </w:rPr>
              <w:t>Districts?</w:t>
            </w:r>
          </w:p>
        </w:tc>
        <w:tc>
          <w:tcPr>
            <w:tcW w:w="1440" w:type="dxa"/>
          </w:tcPr>
          <w:p w14:paraId="2AC8AEE2"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Funding Type</w:t>
            </w:r>
          </w:p>
        </w:tc>
        <w:tc>
          <w:tcPr>
            <w:tcW w:w="840" w:type="dxa"/>
          </w:tcPr>
          <w:p w14:paraId="6FE9D01E" w14:textId="77777777" w:rsidR="001F50DD" w:rsidRDefault="002135DD">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Links</w:t>
            </w:r>
          </w:p>
        </w:tc>
      </w:tr>
      <w:tr w:rsidR="001F50DD" w14:paraId="057C894E" w14:textId="77777777">
        <w:trPr>
          <w:trHeight w:val="440"/>
        </w:trPr>
        <w:tc>
          <w:tcPr>
            <w:tcW w:w="2550" w:type="dxa"/>
          </w:tcPr>
          <w:p w14:paraId="3381AB9D"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 xml:space="preserve">Stronger Connections </w:t>
            </w:r>
          </w:p>
          <w:p w14:paraId="10A178AF"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Grant Program</w:t>
            </w:r>
            <w:r>
              <w:rPr>
                <w:rFonts w:ascii="Times New Roman" w:eastAsia="Times New Roman" w:hAnsi="Times New Roman" w:cs="Times New Roman"/>
                <w:b/>
                <w:vertAlign w:val="superscript"/>
              </w:rPr>
              <w:footnoteReference w:id="6"/>
            </w:r>
          </w:p>
        </w:tc>
        <w:tc>
          <w:tcPr>
            <w:tcW w:w="3735" w:type="dxa"/>
          </w:tcPr>
          <w:p w14:paraId="1D9F9277"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The Stronger Connections Grant program provides funds to SEAs to competitively award subgrants to</w:t>
            </w:r>
          </w:p>
          <w:p w14:paraId="0DC29E40"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high-need LEAs (as defined by individual SEAs) to establish safer and healthier learning environments and to prevent and respond to acts of bullying, violence, and hate, among other programs and activities.</w:t>
            </w:r>
          </w:p>
        </w:tc>
        <w:tc>
          <w:tcPr>
            <w:tcW w:w="3750" w:type="dxa"/>
          </w:tcPr>
          <w:p w14:paraId="7E3DA782" w14:textId="77777777" w:rsidR="001F50DD" w:rsidRDefault="002135DD">
            <w:pPr>
              <w:rPr>
                <w:rFonts w:ascii="Times New Roman" w:eastAsia="Times New Roman" w:hAnsi="Times New Roman" w:cs="Times New Roman"/>
              </w:rPr>
            </w:pPr>
            <w:r>
              <w:rPr>
                <w:rFonts w:ascii="Times New Roman" w:eastAsia="Times New Roman" w:hAnsi="Times New Roman" w:cs="Times New Roman"/>
                <w:b/>
              </w:rPr>
              <w:t xml:space="preserve">States: </w:t>
            </w:r>
            <w:r>
              <w:rPr>
                <w:rFonts w:ascii="Times New Roman" w:eastAsia="Times New Roman" w:hAnsi="Times New Roman" w:cs="Times New Roman"/>
              </w:rPr>
              <w:t>State reservation can be used for state-level activities to support safe and healthy students under section 4108 of the ESEA. This can include providing technical assistance and other supports to LEAs implementing Stronger Connections subgrants.</w:t>
            </w:r>
          </w:p>
          <w:p w14:paraId="1E501127" w14:textId="77777777" w:rsidR="001F50DD" w:rsidRDefault="001F50DD">
            <w:pPr>
              <w:rPr>
                <w:rFonts w:ascii="Times New Roman" w:eastAsia="Times New Roman" w:hAnsi="Times New Roman" w:cs="Times New Roman"/>
              </w:rPr>
            </w:pPr>
          </w:p>
          <w:p w14:paraId="00AEC071" w14:textId="77777777" w:rsidR="001F50DD" w:rsidRDefault="002135DD">
            <w:pPr>
              <w:rPr>
                <w:rFonts w:ascii="Times New Roman" w:eastAsia="Times New Roman" w:hAnsi="Times New Roman" w:cs="Times New Roman"/>
              </w:rPr>
            </w:pPr>
            <w:r>
              <w:rPr>
                <w:rFonts w:ascii="Times New Roman" w:eastAsia="Times New Roman" w:hAnsi="Times New Roman" w:cs="Times New Roman"/>
                <w:b/>
              </w:rPr>
              <w:t xml:space="preserve">Districts: </w:t>
            </w:r>
            <w:r>
              <w:rPr>
                <w:rFonts w:ascii="Times New Roman" w:eastAsia="Times New Roman" w:hAnsi="Times New Roman" w:cs="Times New Roman"/>
              </w:rPr>
              <w:t>Funds can be used to support schoolwide implementation of strategies to meet students’ social, emotional, and academic needs. This includes evidence-based strategies such as SEL.</w:t>
            </w:r>
          </w:p>
        </w:tc>
        <w:tc>
          <w:tcPr>
            <w:tcW w:w="885" w:type="dxa"/>
          </w:tcPr>
          <w:p w14:paraId="4B19562A"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930" w:type="dxa"/>
          </w:tcPr>
          <w:p w14:paraId="260B5C0F"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440" w:type="dxa"/>
          </w:tcPr>
          <w:p w14:paraId="1CD75F61"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Competitive</w:t>
            </w:r>
          </w:p>
        </w:tc>
        <w:tc>
          <w:tcPr>
            <w:tcW w:w="840" w:type="dxa"/>
          </w:tcPr>
          <w:p w14:paraId="0D72BAFF" w14:textId="77777777" w:rsidR="001F50DD" w:rsidRDefault="002135DD">
            <w:pPr>
              <w:widowControl w:val="0"/>
              <w:spacing w:line="240" w:lineRule="auto"/>
              <w:rPr>
                <w:rFonts w:ascii="Times New Roman" w:eastAsia="Times New Roman" w:hAnsi="Times New Roman" w:cs="Times New Roman"/>
              </w:rPr>
            </w:pPr>
            <w:hyperlink r:id="rId22">
              <w:r>
                <w:rPr>
                  <w:rFonts w:ascii="Times New Roman" w:eastAsia="Times New Roman" w:hAnsi="Times New Roman" w:cs="Times New Roman"/>
                  <w:color w:val="1155CC"/>
                  <w:u w:val="single"/>
                </w:rPr>
                <w:t>Link</w:t>
              </w:r>
            </w:hyperlink>
          </w:p>
        </w:tc>
      </w:tr>
    </w:tbl>
    <w:p w14:paraId="15AC1F73" w14:textId="77777777" w:rsidR="001F50DD" w:rsidRDefault="001F50DD">
      <w:pPr>
        <w:ind w:right="-90"/>
        <w:rPr>
          <w:rFonts w:ascii="Times New Roman" w:eastAsia="Times New Roman" w:hAnsi="Times New Roman" w:cs="Times New Roman"/>
          <w:b/>
          <w:sz w:val="2"/>
          <w:szCs w:val="2"/>
        </w:rPr>
      </w:pPr>
    </w:p>
    <w:p w14:paraId="073F3567" w14:textId="77777777" w:rsidR="001F50DD" w:rsidRDefault="001F50DD">
      <w:pPr>
        <w:ind w:right="-90"/>
        <w:rPr>
          <w:rFonts w:ascii="Times New Roman" w:eastAsia="Times New Roman" w:hAnsi="Times New Roman" w:cs="Times New Roman"/>
          <w:b/>
          <w:sz w:val="2"/>
          <w:szCs w:val="2"/>
        </w:rPr>
      </w:pPr>
    </w:p>
    <w:p w14:paraId="1EF073DB" w14:textId="77777777" w:rsidR="001F50DD" w:rsidRDefault="001F50DD">
      <w:pPr>
        <w:ind w:right="-90"/>
        <w:rPr>
          <w:rFonts w:ascii="Times New Roman" w:eastAsia="Times New Roman" w:hAnsi="Times New Roman" w:cs="Times New Roman"/>
          <w:b/>
          <w:sz w:val="2"/>
          <w:szCs w:val="2"/>
        </w:rPr>
      </w:pPr>
    </w:p>
    <w:p w14:paraId="09995E52" w14:textId="77777777" w:rsidR="001F50DD" w:rsidRDefault="001F50DD">
      <w:pPr>
        <w:ind w:right="-90"/>
        <w:rPr>
          <w:rFonts w:ascii="Times New Roman" w:eastAsia="Times New Roman" w:hAnsi="Times New Roman" w:cs="Times New Roman"/>
          <w:b/>
          <w:sz w:val="2"/>
          <w:szCs w:val="2"/>
        </w:rPr>
      </w:pPr>
    </w:p>
    <w:p w14:paraId="5BC42762" w14:textId="77777777" w:rsidR="001F50DD" w:rsidRDefault="001F50DD">
      <w:pPr>
        <w:ind w:right="-90"/>
        <w:rPr>
          <w:rFonts w:ascii="Times New Roman" w:eastAsia="Times New Roman" w:hAnsi="Times New Roman" w:cs="Times New Roman"/>
          <w:b/>
          <w:sz w:val="2"/>
          <w:szCs w:val="2"/>
        </w:rPr>
      </w:pPr>
    </w:p>
    <w:p w14:paraId="0F27D244" w14:textId="77777777" w:rsidR="001F50DD" w:rsidRDefault="001F50DD">
      <w:pPr>
        <w:ind w:right="-90"/>
        <w:rPr>
          <w:rFonts w:ascii="Times New Roman" w:eastAsia="Times New Roman" w:hAnsi="Times New Roman" w:cs="Times New Roman"/>
          <w:b/>
          <w:sz w:val="2"/>
          <w:szCs w:val="2"/>
        </w:rPr>
      </w:pPr>
    </w:p>
    <w:p w14:paraId="05BA3141" w14:textId="77777777" w:rsidR="001F50DD" w:rsidRDefault="001F50DD">
      <w:pPr>
        <w:ind w:right="-90"/>
        <w:rPr>
          <w:rFonts w:ascii="Times New Roman" w:eastAsia="Times New Roman" w:hAnsi="Times New Roman" w:cs="Times New Roman"/>
          <w:b/>
          <w:sz w:val="2"/>
          <w:szCs w:val="2"/>
        </w:rPr>
      </w:pPr>
    </w:p>
    <w:p w14:paraId="53004714" w14:textId="77777777" w:rsidR="001F50DD" w:rsidRDefault="001F50DD">
      <w:pPr>
        <w:ind w:right="-90"/>
        <w:rPr>
          <w:rFonts w:ascii="Times New Roman" w:eastAsia="Times New Roman" w:hAnsi="Times New Roman" w:cs="Times New Roman"/>
          <w:b/>
          <w:sz w:val="2"/>
          <w:szCs w:val="2"/>
        </w:rPr>
      </w:pPr>
    </w:p>
    <w:p w14:paraId="4CB3BA82" w14:textId="77777777" w:rsidR="001F50DD" w:rsidRDefault="001F50DD">
      <w:pPr>
        <w:ind w:right="-90"/>
        <w:rPr>
          <w:rFonts w:ascii="Times New Roman" w:eastAsia="Times New Roman" w:hAnsi="Times New Roman" w:cs="Times New Roman"/>
          <w:b/>
          <w:sz w:val="2"/>
          <w:szCs w:val="2"/>
        </w:rPr>
      </w:pPr>
    </w:p>
    <w:p w14:paraId="2606EAD0" w14:textId="77777777" w:rsidR="001F50DD" w:rsidRDefault="001F50DD">
      <w:pPr>
        <w:ind w:right="-90"/>
        <w:rPr>
          <w:rFonts w:ascii="Times New Roman" w:eastAsia="Times New Roman" w:hAnsi="Times New Roman" w:cs="Times New Roman"/>
          <w:b/>
          <w:sz w:val="2"/>
          <w:szCs w:val="2"/>
        </w:rPr>
      </w:pPr>
    </w:p>
    <w:p w14:paraId="726B0261" w14:textId="77777777" w:rsidR="001F50DD" w:rsidRDefault="001F50DD">
      <w:pPr>
        <w:ind w:right="-90"/>
        <w:rPr>
          <w:rFonts w:ascii="Times New Roman" w:eastAsia="Times New Roman" w:hAnsi="Times New Roman" w:cs="Times New Roman"/>
          <w:b/>
          <w:sz w:val="2"/>
          <w:szCs w:val="2"/>
        </w:rPr>
      </w:pPr>
    </w:p>
    <w:p w14:paraId="0E4734C2" w14:textId="77777777" w:rsidR="001F50DD" w:rsidRDefault="001F50DD">
      <w:pPr>
        <w:ind w:right="-90"/>
        <w:rPr>
          <w:rFonts w:ascii="Times New Roman" w:eastAsia="Times New Roman" w:hAnsi="Times New Roman" w:cs="Times New Roman"/>
          <w:b/>
          <w:sz w:val="2"/>
          <w:szCs w:val="2"/>
        </w:rPr>
      </w:pPr>
    </w:p>
    <w:p w14:paraId="5CBFB125" w14:textId="77777777" w:rsidR="001F50DD" w:rsidRDefault="001F50DD">
      <w:pPr>
        <w:ind w:right="-90"/>
        <w:rPr>
          <w:rFonts w:ascii="Times New Roman" w:eastAsia="Times New Roman" w:hAnsi="Times New Roman" w:cs="Times New Roman"/>
          <w:b/>
          <w:sz w:val="2"/>
          <w:szCs w:val="2"/>
        </w:rPr>
      </w:pPr>
    </w:p>
    <w:p w14:paraId="40FBBAE6" w14:textId="77777777" w:rsidR="001F50DD" w:rsidRDefault="001F50DD">
      <w:pPr>
        <w:ind w:right="-90"/>
        <w:rPr>
          <w:rFonts w:ascii="Times New Roman" w:eastAsia="Times New Roman" w:hAnsi="Times New Roman" w:cs="Times New Roman"/>
          <w:b/>
          <w:sz w:val="2"/>
          <w:szCs w:val="2"/>
        </w:rPr>
      </w:pPr>
    </w:p>
    <w:p w14:paraId="143DD6F5" w14:textId="77777777" w:rsidR="001F50DD" w:rsidRDefault="001F50DD">
      <w:pPr>
        <w:ind w:right="-90"/>
        <w:rPr>
          <w:rFonts w:ascii="Times New Roman" w:eastAsia="Times New Roman" w:hAnsi="Times New Roman" w:cs="Times New Roman"/>
          <w:b/>
          <w:sz w:val="2"/>
          <w:szCs w:val="2"/>
        </w:rPr>
      </w:pPr>
    </w:p>
    <w:p w14:paraId="236C40D5" w14:textId="77777777" w:rsidR="001F50DD" w:rsidRDefault="001F50DD">
      <w:pPr>
        <w:ind w:right="-90"/>
        <w:rPr>
          <w:rFonts w:ascii="Times New Roman" w:eastAsia="Times New Roman" w:hAnsi="Times New Roman" w:cs="Times New Roman"/>
          <w:b/>
          <w:sz w:val="2"/>
          <w:szCs w:val="2"/>
        </w:rPr>
      </w:pPr>
    </w:p>
    <w:p w14:paraId="0AFFFE54" w14:textId="77777777" w:rsidR="001F50DD" w:rsidRDefault="001F50DD">
      <w:pPr>
        <w:ind w:right="-90"/>
        <w:rPr>
          <w:rFonts w:ascii="Times New Roman" w:eastAsia="Times New Roman" w:hAnsi="Times New Roman" w:cs="Times New Roman"/>
          <w:b/>
          <w:sz w:val="2"/>
          <w:szCs w:val="2"/>
        </w:rPr>
      </w:pPr>
    </w:p>
    <w:p w14:paraId="19CC92EB" w14:textId="77777777" w:rsidR="001F50DD" w:rsidRDefault="001F50DD">
      <w:pPr>
        <w:ind w:right="-90"/>
        <w:rPr>
          <w:rFonts w:ascii="Times New Roman" w:eastAsia="Times New Roman" w:hAnsi="Times New Roman" w:cs="Times New Roman"/>
          <w:b/>
          <w:sz w:val="2"/>
          <w:szCs w:val="2"/>
        </w:rPr>
      </w:pPr>
    </w:p>
    <w:p w14:paraId="582CEFE7" w14:textId="77777777" w:rsidR="001F50DD" w:rsidRDefault="001F50DD">
      <w:pPr>
        <w:ind w:right="-90"/>
        <w:rPr>
          <w:rFonts w:ascii="Times New Roman" w:eastAsia="Times New Roman" w:hAnsi="Times New Roman" w:cs="Times New Roman"/>
          <w:b/>
          <w:sz w:val="2"/>
          <w:szCs w:val="2"/>
        </w:rPr>
      </w:pPr>
    </w:p>
    <w:p w14:paraId="4EFC430A" w14:textId="77777777" w:rsidR="001F50DD" w:rsidRDefault="001F50DD">
      <w:pPr>
        <w:ind w:right="-90"/>
        <w:rPr>
          <w:rFonts w:ascii="Times New Roman" w:eastAsia="Times New Roman" w:hAnsi="Times New Roman" w:cs="Times New Roman"/>
          <w:b/>
          <w:sz w:val="2"/>
          <w:szCs w:val="2"/>
        </w:rPr>
      </w:pPr>
    </w:p>
    <w:p w14:paraId="3EA4B378" w14:textId="77777777" w:rsidR="001F50DD" w:rsidRDefault="001F50DD">
      <w:pPr>
        <w:ind w:right="-90"/>
        <w:rPr>
          <w:rFonts w:ascii="Times New Roman" w:eastAsia="Times New Roman" w:hAnsi="Times New Roman" w:cs="Times New Roman"/>
          <w:b/>
          <w:sz w:val="2"/>
          <w:szCs w:val="2"/>
        </w:rPr>
      </w:pPr>
    </w:p>
    <w:p w14:paraId="4F85DE75" w14:textId="77777777" w:rsidR="001F50DD" w:rsidRDefault="001F50DD">
      <w:pPr>
        <w:ind w:right="-90"/>
        <w:rPr>
          <w:rFonts w:ascii="Times New Roman" w:eastAsia="Times New Roman" w:hAnsi="Times New Roman" w:cs="Times New Roman"/>
          <w:b/>
          <w:sz w:val="2"/>
          <w:szCs w:val="2"/>
        </w:rPr>
      </w:pPr>
    </w:p>
    <w:p w14:paraId="5DB3FC81" w14:textId="77777777" w:rsidR="001F50DD" w:rsidRDefault="001F50DD">
      <w:pPr>
        <w:ind w:right="-90"/>
        <w:rPr>
          <w:rFonts w:ascii="Times New Roman" w:eastAsia="Times New Roman" w:hAnsi="Times New Roman" w:cs="Times New Roman"/>
          <w:b/>
          <w:sz w:val="2"/>
          <w:szCs w:val="2"/>
        </w:rPr>
      </w:pPr>
    </w:p>
    <w:p w14:paraId="5CEABE13" w14:textId="77777777" w:rsidR="001F50DD" w:rsidRDefault="001F50DD">
      <w:pPr>
        <w:ind w:right="-90"/>
        <w:rPr>
          <w:rFonts w:ascii="Times New Roman" w:eastAsia="Times New Roman" w:hAnsi="Times New Roman" w:cs="Times New Roman"/>
          <w:b/>
          <w:sz w:val="2"/>
          <w:szCs w:val="2"/>
        </w:rPr>
      </w:pPr>
    </w:p>
    <w:p w14:paraId="348AB73E" w14:textId="77777777" w:rsidR="001F50DD" w:rsidRDefault="001F50DD">
      <w:pPr>
        <w:ind w:right="-90"/>
        <w:rPr>
          <w:rFonts w:ascii="Times New Roman" w:eastAsia="Times New Roman" w:hAnsi="Times New Roman" w:cs="Times New Roman"/>
          <w:b/>
          <w:sz w:val="2"/>
          <w:szCs w:val="2"/>
        </w:rPr>
      </w:pPr>
    </w:p>
    <w:p w14:paraId="48A4A548" w14:textId="77777777" w:rsidR="001F50DD" w:rsidRDefault="001F50DD">
      <w:pPr>
        <w:ind w:right="-90"/>
        <w:rPr>
          <w:rFonts w:ascii="Times New Roman" w:eastAsia="Times New Roman" w:hAnsi="Times New Roman" w:cs="Times New Roman"/>
          <w:b/>
          <w:sz w:val="2"/>
          <w:szCs w:val="2"/>
        </w:rPr>
      </w:pPr>
    </w:p>
    <w:p w14:paraId="6F659A3D" w14:textId="77777777" w:rsidR="001F50DD" w:rsidRDefault="001F50DD">
      <w:pPr>
        <w:ind w:right="-90"/>
        <w:rPr>
          <w:rFonts w:ascii="Times New Roman" w:eastAsia="Times New Roman" w:hAnsi="Times New Roman" w:cs="Times New Roman"/>
          <w:b/>
          <w:sz w:val="2"/>
          <w:szCs w:val="2"/>
        </w:rPr>
      </w:pPr>
    </w:p>
    <w:p w14:paraId="27DB0342" w14:textId="77777777" w:rsidR="001F50DD" w:rsidRDefault="001F50DD">
      <w:pPr>
        <w:ind w:right="-90"/>
        <w:rPr>
          <w:rFonts w:ascii="Times New Roman" w:eastAsia="Times New Roman" w:hAnsi="Times New Roman" w:cs="Times New Roman"/>
          <w:b/>
          <w:sz w:val="2"/>
          <w:szCs w:val="2"/>
        </w:rPr>
      </w:pPr>
    </w:p>
    <w:p w14:paraId="1818C070" w14:textId="77777777" w:rsidR="001F50DD" w:rsidRDefault="001F50DD">
      <w:pPr>
        <w:ind w:right="-90"/>
        <w:rPr>
          <w:rFonts w:ascii="Times New Roman" w:eastAsia="Times New Roman" w:hAnsi="Times New Roman" w:cs="Times New Roman"/>
          <w:b/>
          <w:sz w:val="2"/>
          <w:szCs w:val="2"/>
        </w:rPr>
      </w:pPr>
    </w:p>
    <w:p w14:paraId="089B4AC7" w14:textId="77777777" w:rsidR="001F50DD" w:rsidRDefault="001F50DD">
      <w:pPr>
        <w:ind w:right="-90"/>
        <w:rPr>
          <w:rFonts w:ascii="Times New Roman" w:eastAsia="Times New Roman" w:hAnsi="Times New Roman" w:cs="Times New Roman"/>
          <w:b/>
          <w:sz w:val="2"/>
          <w:szCs w:val="2"/>
        </w:rPr>
      </w:pPr>
    </w:p>
    <w:p w14:paraId="48906FB6" w14:textId="77777777" w:rsidR="001F50DD" w:rsidRDefault="001F50DD">
      <w:pPr>
        <w:ind w:right="-90"/>
        <w:rPr>
          <w:rFonts w:ascii="Times New Roman" w:eastAsia="Times New Roman" w:hAnsi="Times New Roman" w:cs="Times New Roman"/>
          <w:b/>
          <w:sz w:val="2"/>
          <w:szCs w:val="2"/>
        </w:rPr>
      </w:pPr>
    </w:p>
    <w:p w14:paraId="681A7487" w14:textId="77777777" w:rsidR="001F50DD" w:rsidRDefault="001F50DD">
      <w:pPr>
        <w:ind w:right="-90"/>
        <w:rPr>
          <w:rFonts w:ascii="Times New Roman" w:eastAsia="Times New Roman" w:hAnsi="Times New Roman" w:cs="Times New Roman"/>
          <w:b/>
          <w:sz w:val="2"/>
          <w:szCs w:val="2"/>
        </w:rPr>
      </w:pPr>
    </w:p>
    <w:tbl>
      <w:tblPr>
        <w:tblStyle w:val="a1"/>
        <w:tblpPr w:leftFromText="180" w:rightFromText="180" w:topFromText="180" w:bottomFromText="180" w:vertAnchor="text" w:tblpX="-75"/>
        <w:tblW w:w="13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260"/>
        <w:gridCol w:w="3315"/>
        <w:gridCol w:w="765"/>
        <w:gridCol w:w="960"/>
        <w:gridCol w:w="1380"/>
        <w:gridCol w:w="870"/>
      </w:tblGrid>
      <w:tr w:rsidR="001F50DD" w14:paraId="33095FF1" w14:textId="77777777">
        <w:trPr>
          <w:trHeight w:val="440"/>
        </w:trPr>
        <w:tc>
          <w:tcPr>
            <w:tcW w:w="13170" w:type="dxa"/>
            <w:gridSpan w:val="7"/>
            <w:shd w:val="clear" w:color="auto" w:fill="D9D9D9"/>
          </w:tcPr>
          <w:p w14:paraId="59F54FF5" w14:textId="77777777" w:rsidR="001F50DD" w:rsidRDefault="002135DD">
            <w:pPr>
              <w:jc w:val="center"/>
              <w:rPr>
                <w:rFonts w:ascii="Times New Roman" w:eastAsia="Times New Roman" w:hAnsi="Times New Roman" w:cs="Times New Roman"/>
                <w:b/>
              </w:rPr>
            </w:pPr>
            <w:r>
              <w:rPr>
                <w:rFonts w:ascii="Times New Roman" w:eastAsia="Times New Roman" w:hAnsi="Times New Roman" w:cs="Times New Roman"/>
                <w:b/>
              </w:rPr>
              <w:lastRenderedPageBreak/>
              <w:t>U.S. Department of Education</w:t>
            </w:r>
          </w:p>
        </w:tc>
      </w:tr>
      <w:tr w:rsidR="001F50DD" w14:paraId="1E7E6678" w14:textId="77777777">
        <w:trPr>
          <w:trHeight w:val="440"/>
        </w:trPr>
        <w:tc>
          <w:tcPr>
            <w:tcW w:w="13170" w:type="dxa"/>
            <w:gridSpan w:val="7"/>
            <w:shd w:val="clear" w:color="auto" w:fill="A4C2F4"/>
          </w:tcPr>
          <w:p w14:paraId="09B276A6"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Higher Education Act</w:t>
            </w:r>
          </w:p>
        </w:tc>
      </w:tr>
      <w:tr w:rsidR="001F50DD" w14:paraId="6EFBBDF1" w14:textId="77777777">
        <w:trPr>
          <w:trHeight w:val="440"/>
        </w:trPr>
        <w:tc>
          <w:tcPr>
            <w:tcW w:w="1620" w:type="dxa"/>
          </w:tcPr>
          <w:p w14:paraId="722DCADB"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Program</w:t>
            </w:r>
          </w:p>
        </w:tc>
        <w:tc>
          <w:tcPr>
            <w:tcW w:w="4260" w:type="dxa"/>
          </w:tcPr>
          <w:p w14:paraId="61CC156A"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About the Grant Program</w:t>
            </w:r>
          </w:p>
        </w:tc>
        <w:tc>
          <w:tcPr>
            <w:tcW w:w="3315" w:type="dxa"/>
          </w:tcPr>
          <w:p w14:paraId="6D5E6609"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How It Can Support SEL</w:t>
            </w:r>
          </w:p>
        </w:tc>
        <w:tc>
          <w:tcPr>
            <w:tcW w:w="1725" w:type="dxa"/>
            <w:gridSpan w:val="2"/>
          </w:tcPr>
          <w:p w14:paraId="597D6200"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Eligible Entities</w:t>
            </w:r>
          </w:p>
        </w:tc>
        <w:tc>
          <w:tcPr>
            <w:tcW w:w="1380" w:type="dxa"/>
          </w:tcPr>
          <w:p w14:paraId="3A258838"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Funding Type</w:t>
            </w:r>
          </w:p>
        </w:tc>
        <w:tc>
          <w:tcPr>
            <w:tcW w:w="870" w:type="dxa"/>
          </w:tcPr>
          <w:p w14:paraId="4CE7AD9A" w14:textId="77777777" w:rsidR="001F50DD" w:rsidRDefault="002135DD">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Links </w:t>
            </w:r>
          </w:p>
        </w:tc>
      </w:tr>
      <w:tr w:rsidR="001F50DD" w14:paraId="117C37DD" w14:textId="77777777">
        <w:trPr>
          <w:trHeight w:val="440"/>
        </w:trPr>
        <w:tc>
          <w:tcPr>
            <w:tcW w:w="1620" w:type="dxa"/>
          </w:tcPr>
          <w:p w14:paraId="4AB2ADF4"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Title II, Part A</w:t>
            </w:r>
          </w:p>
        </w:tc>
        <w:tc>
          <w:tcPr>
            <w:tcW w:w="4260" w:type="dxa"/>
          </w:tcPr>
          <w:p w14:paraId="43C83698" w14:textId="77777777" w:rsidR="001F50DD" w:rsidRDefault="002135DD">
            <w:pPr>
              <w:ind w:left="90"/>
              <w:rPr>
                <w:rFonts w:ascii="Times New Roman" w:eastAsia="Times New Roman" w:hAnsi="Times New Roman" w:cs="Times New Roman"/>
              </w:rPr>
            </w:pPr>
            <w:r>
              <w:rPr>
                <w:rFonts w:ascii="Times New Roman" w:eastAsia="Times New Roman" w:hAnsi="Times New Roman" w:cs="Times New Roman"/>
              </w:rPr>
              <w:t>The Teacher Quality Partnership program provides funds to improve student achievement and support the quality of prospective and new teachers by enhancing the preparation of prospective teachers and enhancing professional development activities for new teachers, among other purposes.</w:t>
            </w:r>
          </w:p>
        </w:tc>
        <w:tc>
          <w:tcPr>
            <w:tcW w:w="3315" w:type="dxa"/>
          </w:tcPr>
          <w:p w14:paraId="72E32D99"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Can support the development of educator preparation programs and activities that help educators grow in their SEL competencies and developing classroom strategies to promote SEL and holistic student well-being.</w:t>
            </w:r>
          </w:p>
        </w:tc>
        <w:tc>
          <w:tcPr>
            <w:tcW w:w="1725" w:type="dxa"/>
            <w:gridSpan w:val="2"/>
          </w:tcPr>
          <w:p w14:paraId="10593242" w14:textId="77777777" w:rsidR="001F50DD" w:rsidRDefault="002135DD">
            <w:pPr>
              <w:ind w:left="90"/>
              <w:rPr>
                <w:rFonts w:ascii="Times New Roman" w:eastAsia="Times New Roman" w:hAnsi="Times New Roman" w:cs="Times New Roman"/>
              </w:rPr>
            </w:pPr>
            <w:r>
              <w:rPr>
                <w:rFonts w:ascii="Times New Roman" w:eastAsia="Times New Roman" w:hAnsi="Times New Roman" w:cs="Times New Roman"/>
              </w:rPr>
              <w:t>SEAs and LEAs eligible in consortia with other institutions and organizations</w:t>
            </w:r>
          </w:p>
        </w:tc>
        <w:tc>
          <w:tcPr>
            <w:tcW w:w="1380" w:type="dxa"/>
          </w:tcPr>
          <w:p w14:paraId="48E9C234" w14:textId="77777777" w:rsidR="001F50DD" w:rsidRDefault="002135DD">
            <w:pPr>
              <w:ind w:hanging="15"/>
              <w:rPr>
                <w:rFonts w:ascii="Times New Roman" w:eastAsia="Times New Roman" w:hAnsi="Times New Roman" w:cs="Times New Roman"/>
              </w:rPr>
            </w:pPr>
            <w:r>
              <w:rPr>
                <w:rFonts w:ascii="Times New Roman" w:eastAsia="Times New Roman" w:hAnsi="Times New Roman" w:cs="Times New Roman"/>
              </w:rPr>
              <w:t>Competitive</w:t>
            </w:r>
          </w:p>
        </w:tc>
        <w:tc>
          <w:tcPr>
            <w:tcW w:w="870" w:type="dxa"/>
          </w:tcPr>
          <w:p w14:paraId="4ACC0F85" w14:textId="77777777" w:rsidR="001F50DD" w:rsidRDefault="002135DD">
            <w:pPr>
              <w:widowControl w:val="0"/>
              <w:spacing w:line="240" w:lineRule="auto"/>
              <w:rPr>
                <w:rFonts w:ascii="Times New Roman" w:eastAsia="Times New Roman" w:hAnsi="Times New Roman" w:cs="Times New Roman"/>
              </w:rPr>
            </w:pPr>
            <w:hyperlink r:id="rId23">
              <w:r>
                <w:rPr>
                  <w:rFonts w:ascii="Times New Roman" w:eastAsia="Times New Roman" w:hAnsi="Times New Roman" w:cs="Times New Roman"/>
                  <w:color w:val="1155CC"/>
                  <w:u w:val="single"/>
                </w:rPr>
                <w:t>Link</w:t>
              </w:r>
            </w:hyperlink>
          </w:p>
        </w:tc>
      </w:tr>
      <w:tr w:rsidR="001F50DD" w14:paraId="34B666D0" w14:textId="77777777">
        <w:trPr>
          <w:trHeight w:val="440"/>
        </w:trPr>
        <w:tc>
          <w:tcPr>
            <w:tcW w:w="1620" w:type="dxa"/>
          </w:tcPr>
          <w:p w14:paraId="6577C4E4"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Title II, Part B</w:t>
            </w:r>
          </w:p>
        </w:tc>
        <w:tc>
          <w:tcPr>
            <w:tcW w:w="4260" w:type="dxa"/>
          </w:tcPr>
          <w:p w14:paraId="3EC95417" w14:textId="77777777" w:rsidR="001F50DD" w:rsidRDefault="002135DD">
            <w:pPr>
              <w:ind w:left="90"/>
              <w:rPr>
                <w:rFonts w:ascii="Times New Roman" w:eastAsia="Times New Roman" w:hAnsi="Times New Roman" w:cs="Times New Roman"/>
              </w:rPr>
            </w:pPr>
            <w:r>
              <w:rPr>
                <w:rFonts w:ascii="Times New Roman" w:eastAsia="Times New Roman" w:hAnsi="Times New Roman" w:cs="Times New Roman"/>
              </w:rPr>
              <w:t>The Augustus F. Hawkins Centers support comprehensive, high-quality State-accredited teacher educator programs by creating centers of excellence at Historically Black Colleges and Universities; Tribal Colleges or Universities; or Minority Serving Institutions.</w:t>
            </w:r>
          </w:p>
        </w:tc>
        <w:tc>
          <w:tcPr>
            <w:tcW w:w="3315" w:type="dxa"/>
          </w:tcPr>
          <w:p w14:paraId="4CABDA76"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Can support the development of educator preparation programs, which can include leveraging SEL to meet the needs of educators of color, and help educators develop classroom strategies to promote SEL and holistic student well-being.</w:t>
            </w:r>
          </w:p>
        </w:tc>
        <w:tc>
          <w:tcPr>
            <w:tcW w:w="1725" w:type="dxa"/>
            <w:gridSpan w:val="2"/>
          </w:tcPr>
          <w:p w14:paraId="77E8AE1D" w14:textId="77777777" w:rsidR="001F50DD" w:rsidRDefault="002135DD">
            <w:pPr>
              <w:ind w:left="90"/>
              <w:rPr>
                <w:rFonts w:ascii="Times New Roman" w:eastAsia="Times New Roman" w:hAnsi="Times New Roman" w:cs="Times New Roman"/>
              </w:rPr>
            </w:pPr>
            <w:r>
              <w:rPr>
                <w:rFonts w:ascii="Times New Roman" w:eastAsia="Times New Roman" w:hAnsi="Times New Roman" w:cs="Times New Roman"/>
              </w:rPr>
              <w:t>Institutions of Higher Education</w:t>
            </w:r>
          </w:p>
        </w:tc>
        <w:tc>
          <w:tcPr>
            <w:tcW w:w="1380" w:type="dxa"/>
          </w:tcPr>
          <w:p w14:paraId="346C9927" w14:textId="77777777" w:rsidR="001F50DD" w:rsidRDefault="002135DD">
            <w:pPr>
              <w:ind w:hanging="15"/>
              <w:rPr>
                <w:rFonts w:ascii="Times New Roman" w:eastAsia="Times New Roman" w:hAnsi="Times New Roman" w:cs="Times New Roman"/>
              </w:rPr>
            </w:pPr>
            <w:r>
              <w:rPr>
                <w:rFonts w:ascii="Times New Roman" w:eastAsia="Times New Roman" w:hAnsi="Times New Roman" w:cs="Times New Roman"/>
              </w:rPr>
              <w:t>Competitive</w:t>
            </w:r>
          </w:p>
        </w:tc>
        <w:tc>
          <w:tcPr>
            <w:tcW w:w="870" w:type="dxa"/>
          </w:tcPr>
          <w:p w14:paraId="453C4881" w14:textId="77777777" w:rsidR="001F50DD" w:rsidRDefault="002135DD">
            <w:pPr>
              <w:widowControl w:val="0"/>
              <w:spacing w:line="240" w:lineRule="auto"/>
              <w:ind w:left="360"/>
              <w:rPr>
                <w:rFonts w:ascii="Times New Roman" w:eastAsia="Times New Roman" w:hAnsi="Times New Roman" w:cs="Times New Roman"/>
              </w:rPr>
            </w:pPr>
            <w:hyperlink r:id="rId24">
              <w:r>
                <w:rPr>
                  <w:rFonts w:ascii="Times New Roman" w:eastAsia="Times New Roman" w:hAnsi="Times New Roman" w:cs="Times New Roman"/>
                  <w:color w:val="1155CC"/>
                  <w:u w:val="single"/>
                </w:rPr>
                <w:t>Link</w:t>
              </w:r>
            </w:hyperlink>
          </w:p>
        </w:tc>
      </w:tr>
      <w:tr w:rsidR="001F50DD" w14:paraId="287072B2" w14:textId="77777777">
        <w:trPr>
          <w:trHeight w:val="440"/>
        </w:trPr>
        <w:tc>
          <w:tcPr>
            <w:tcW w:w="13170" w:type="dxa"/>
            <w:gridSpan w:val="7"/>
            <w:shd w:val="clear" w:color="auto" w:fill="A4C2F4"/>
          </w:tcPr>
          <w:p w14:paraId="54930D42"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Carl D. Perkins Career and Technical Education Act (Perkins V)</w:t>
            </w:r>
          </w:p>
        </w:tc>
      </w:tr>
      <w:tr w:rsidR="001F50DD" w14:paraId="31AA6BD1" w14:textId="77777777">
        <w:trPr>
          <w:trHeight w:val="440"/>
        </w:trPr>
        <w:tc>
          <w:tcPr>
            <w:tcW w:w="1620" w:type="dxa"/>
          </w:tcPr>
          <w:p w14:paraId="7CECE8B5"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Title I</w:t>
            </w:r>
          </w:p>
        </w:tc>
        <w:tc>
          <w:tcPr>
            <w:tcW w:w="4260" w:type="dxa"/>
          </w:tcPr>
          <w:p w14:paraId="27A863FD" w14:textId="77777777" w:rsidR="001F50DD" w:rsidRDefault="002135DD">
            <w:pPr>
              <w:ind w:left="90"/>
              <w:rPr>
                <w:rFonts w:ascii="Times New Roman" w:eastAsia="Times New Roman" w:hAnsi="Times New Roman" w:cs="Times New Roman"/>
              </w:rPr>
            </w:pPr>
            <w:r>
              <w:rPr>
                <w:rFonts w:ascii="Times New Roman" w:eastAsia="Times New Roman" w:hAnsi="Times New Roman" w:cs="Times New Roman"/>
              </w:rPr>
              <w:t>Perkins V provides support for CTE programs and focuses on improving the academic and technical achievement of CTE learners, among other purposes.</w:t>
            </w:r>
          </w:p>
        </w:tc>
        <w:tc>
          <w:tcPr>
            <w:tcW w:w="3315" w:type="dxa"/>
          </w:tcPr>
          <w:p w14:paraId="02109AAF" w14:textId="77777777" w:rsidR="001F50DD" w:rsidRDefault="002135DD">
            <w:pPr>
              <w:rPr>
                <w:rFonts w:ascii="Times New Roman" w:eastAsia="Times New Roman" w:hAnsi="Times New Roman" w:cs="Times New Roman"/>
              </w:rPr>
            </w:pPr>
            <w:r>
              <w:rPr>
                <w:rFonts w:ascii="Times New Roman" w:eastAsia="Times New Roman" w:hAnsi="Times New Roman" w:cs="Times New Roman"/>
              </w:rPr>
              <w:t xml:space="preserve">Can be leveraged to support evidence-based SEL to strengthen CTE learners’ employability skills </w:t>
            </w:r>
            <w:r>
              <w:rPr>
                <w:rFonts w:ascii="Times New Roman" w:eastAsia="Times New Roman" w:hAnsi="Times New Roman" w:cs="Times New Roman"/>
              </w:rPr>
              <w:lastRenderedPageBreak/>
              <w:t>prior to and upon entry into the workforce.</w:t>
            </w:r>
          </w:p>
        </w:tc>
        <w:tc>
          <w:tcPr>
            <w:tcW w:w="1725" w:type="dxa"/>
            <w:gridSpan w:val="2"/>
          </w:tcPr>
          <w:p w14:paraId="520AE0C6" w14:textId="77777777" w:rsidR="001F50DD" w:rsidRDefault="002135DD">
            <w:pPr>
              <w:ind w:left="360"/>
              <w:rPr>
                <w:rFonts w:ascii="Times New Roman" w:eastAsia="Times New Roman" w:hAnsi="Times New Roman" w:cs="Times New Roman"/>
              </w:rPr>
            </w:pPr>
            <w:r>
              <w:rPr>
                <w:rFonts w:ascii="Times New Roman" w:eastAsia="Times New Roman" w:hAnsi="Times New Roman" w:cs="Times New Roman"/>
              </w:rPr>
              <w:lastRenderedPageBreak/>
              <w:t>Various</w:t>
            </w:r>
          </w:p>
        </w:tc>
        <w:tc>
          <w:tcPr>
            <w:tcW w:w="1380" w:type="dxa"/>
          </w:tcPr>
          <w:p w14:paraId="065DE46D" w14:textId="77777777" w:rsidR="001F50DD" w:rsidRDefault="002135DD">
            <w:pPr>
              <w:ind w:left="360"/>
              <w:rPr>
                <w:rFonts w:ascii="Times New Roman" w:eastAsia="Times New Roman" w:hAnsi="Times New Roman" w:cs="Times New Roman"/>
              </w:rPr>
            </w:pPr>
            <w:r>
              <w:rPr>
                <w:rFonts w:ascii="Times New Roman" w:eastAsia="Times New Roman" w:hAnsi="Times New Roman" w:cs="Times New Roman"/>
              </w:rPr>
              <w:t>Formula</w:t>
            </w:r>
          </w:p>
        </w:tc>
        <w:tc>
          <w:tcPr>
            <w:tcW w:w="870" w:type="dxa"/>
          </w:tcPr>
          <w:p w14:paraId="5B10E191" w14:textId="77777777" w:rsidR="001F50DD" w:rsidRDefault="002135DD">
            <w:pPr>
              <w:widowControl w:val="0"/>
              <w:spacing w:line="240" w:lineRule="auto"/>
              <w:ind w:left="360"/>
              <w:rPr>
                <w:rFonts w:ascii="Times New Roman" w:eastAsia="Times New Roman" w:hAnsi="Times New Roman" w:cs="Times New Roman"/>
              </w:rPr>
            </w:pPr>
            <w:hyperlink r:id="rId25">
              <w:r>
                <w:rPr>
                  <w:rFonts w:ascii="Times New Roman" w:eastAsia="Times New Roman" w:hAnsi="Times New Roman" w:cs="Times New Roman"/>
                  <w:color w:val="1155CC"/>
                  <w:u w:val="single"/>
                </w:rPr>
                <w:t>Link</w:t>
              </w:r>
            </w:hyperlink>
          </w:p>
        </w:tc>
      </w:tr>
      <w:tr w:rsidR="001F50DD" w14:paraId="439DEA59" w14:textId="77777777">
        <w:trPr>
          <w:trHeight w:val="440"/>
        </w:trPr>
        <w:tc>
          <w:tcPr>
            <w:tcW w:w="13170" w:type="dxa"/>
            <w:gridSpan w:val="7"/>
            <w:shd w:val="clear" w:color="auto" w:fill="EFEFEF"/>
          </w:tcPr>
          <w:p w14:paraId="71F6F93B" w14:textId="77777777" w:rsidR="001F50DD" w:rsidRDefault="002135DD">
            <w:pPr>
              <w:jc w:val="center"/>
              <w:rPr>
                <w:rFonts w:ascii="Times New Roman" w:eastAsia="Times New Roman" w:hAnsi="Times New Roman" w:cs="Times New Roman"/>
                <w:b/>
              </w:rPr>
            </w:pPr>
            <w:r>
              <w:rPr>
                <w:rFonts w:ascii="Times New Roman" w:eastAsia="Times New Roman" w:hAnsi="Times New Roman" w:cs="Times New Roman"/>
                <w:b/>
              </w:rPr>
              <w:t xml:space="preserve">U.S. Department of Health and Human Services </w:t>
            </w:r>
          </w:p>
          <w:p w14:paraId="2AC43124" w14:textId="77777777" w:rsidR="001F50DD" w:rsidRDefault="002135DD">
            <w:pPr>
              <w:jc w:val="center"/>
              <w:rPr>
                <w:rFonts w:ascii="Times New Roman" w:eastAsia="Times New Roman" w:hAnsi="Times New Roman" w:cs="Times New Roman"/>
                <w:b/>
              </w:rPr>
            </w:pPr>
            <w:r>
              <w:rPr>
                <w:rFonts w:ascii="Times New Roman" w:eastAsia="Times New Roman" w:hAnsi="Times New Roman" w:cs="Times New Roman"/>
                <w:b/>
              </w:rPr>
              <w:t>Substance Abuse and Mental Health Services Administration</w:t>
            </w:r>
          </w:p>
        </w:tc>
      </w:tr>
      <w:tr w:rsidR="001F50DD" w14:paraId="459F65CA" w14:textId="77777777">
        <w:trPr>
          <w:trHeight w:val="440"/>
        </w:trPr>
        <w:tc>
          <w:tcPr>
            <w:tcW w:w="1620" w:type="dxa"/>
          </w:tcPr>
          <w:p w14:paraId="1C3441FC"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Program</w:t>
            </w:r>
          </w:p>
        </w:tc>
        <w:tc>
          <w:tcPr>
            <w:tcW w:w="4260" w:type="dxa"/>
          </w:tcPr>
          <w:p w14:paraId="1BD4185F"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About the Grant Program</w:t>
            </w:r>
          </w:p>
        </w:tc>
        <w:tc>
          <w:tcPr>
            <w:tcW w:w="3315" w:type="dxa"/>
          </w:tcPr>
          <w:p w14:paraId="32B7B45A"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How It Can Support SEL</w:t>
            </w:r>
          </w:p>
        </w:tc>
        <w:tc>
          <w:tcPr>
            <w:tcW w:w="765" w:type="dxa"/>
          </w:tcPr>
          <w:p w14:paraId="4C8EB13E" w14:textId="77777777" w:rsidR="001F50DD" w:rsidRDefault="002135DD">
            <w:pPr>
              <w:spacing w:line="240" w:lineRule="auto"/>
              <w:ind w:left="360"/>
              <w:rPr>
                <w:rFonts w:ascii="Times New Roman" w:eastAsia="Times New Roman" w:hAnsi="Times New Roman" w:cs="Times New Roman"/>
                <w:b/>
              </w:rPr>
            </w:pPr>
            <w:r>
              <w:rPr>
                <w:rFonts w:ascii="Times New Roman" w:eastAsia="Times New Roman" w:hAnsi="Times New Roman" w:cs="Times New Roman"/>
                <w:b/>
              </w:rPr>
              <w:t>States?</w:t>
            </w:r>
          </w:p>
        </w:tc>
        <w:tc>
          <w:tcPr>
            <w:tcW w:w="960" w:type="dxa"/>
          </w:tcPr>
          <w:p w14:paraId="19327B7B" w14:textId="77777777" w:rsidR="001F50DD" w:rsidRDefault="002135DD">
            <w:pPr>
              <w:spacing w:line="240" w:lineRule="auto"/>
              <w:ind w:left="270" w:right="-150" w:hanging="360"/>
              <w:rPr>
                <w:rFonts w:ascii="Times New Roman" w:eastAsia="Times New Roman" w:hAnsi="Times New Roman" w:cs="Times New Roman"/>
                <w:b/>
              </w:rPr>
            </w:pPr>
            <w:r>
              <w:rPr>
                <w:rFonts w:ascii="Times New Roman" w:eastAsia="Times New Roman" w:hAnsi="Times New Roman" w:cs="Times New Roman"/>
                <w:b/>
              </w:rPr>
              <w:t>Districts?</w:t>
            </w:r>
          </w:p>
        </w:tc>
        <w:tc>
          <w:tcPr>
            <w:tcW w:w="1380" w:type="dxa"/>
          </w:tcPr>
          <w:p w14:paraId="40B7DD00" w14:textId="77777777" w:rsidR="001F50DD" w:rsidRDefault="002135DD">
            <w:pPr>
              <w:spacing w:line="240" w:lineRule="auto"/>
              <w:rPr>
                <w:rFonts w:ascii="Times New Roman" w:eastAsia="Times New Roman" w:hAnsi="Times New Roman" w:cs="Times New Roman"/>
                <w:b/>
              </w:rPr>
            </w:pPr>
            <w:r>
              <w:rPr>
                <w:rFonts w:ascii="Times New Roman" w:eastAsia="Times New Roman" w:hAnsi="Times New Roman" w:cs="Times New Roman"/>
                <w:b/>
              </w:rPr>
              <w:t>Funding Type</w:t>
            </w:r>
          </w:p>
        </w:tc>
        <w:tc>
          <w:tcPr>
            <w:tcW w:w="870" w:type="dxa"/>
          </w:tcPr>
          <w:p w14:paraId="68A60F21" w14:textId="77777777" w:rsidR="001F50DD" w:rsidRDefault="002135DD">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Links </w:t>
            </w:r>
          </w:p>
        </w:tc>
      </w:tr>
      <w:tr w:rsidR="001F50DD" w14:paraId="16C13968" w14:textId="77777777">
        <w:trPr>
          <w:trHeight w:val="440"/>
        </w:trPr>
        <w:tc>
          <w:tcPr>
            <w:tcW w:w="1620" w:type="dxa"/>
          </w:tcPr>
          <w:p w14:paraId="0F10D971"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Project AWARE</w:t>
            </w:r>
          </w:p>
        </w:tc>
        <w:tc>
          <w:tcPr>
            <w:tcW w:w="4260" w:type="dxa"/>
          </w:tcPr>
          <w:p w14:paraId="14727C7A" w14:textId="77777777" w:rsidR="001F50DD" w:rsidRDefault="002135DD">
            <w:pPr>
              <w:spacing w:line="240" w:lineRule="auto"/>
              <w:ind w:left="90"/>
              <w:rPr>
                <w:rFonts w:ascii="Times New Roman" w:eastAsia="Times New Roman" w:hAnsi="Times New Roman" w:cs="Times New Roman"/>
              </w:rPr>
            </w:pPr>
            <w:r>
              <w:rPr>
                <w:rFonts w:ascii="Times New Roman" w:eastAsia="Times New Roman" w:hAnsi="Times New Roman" w:cs="Times New Roman"/>
              </w:rPr>
              <w:t>Project AWARE provides funds to develop a sustainable infrastructure for school-based mental health programs and services.</w:t>
            </w:r>
          </w:p>
        </w:tc>
        <w:tc>
          <w:tcPr>
            <w:tcW w:w="3315" w:type="dxa"/>
          </w:tcPr>
          <w:p w14:paraId="071DFF2F" w14:textId="77777777" w:rsidR="001F50DD" w:rsidRDefault="002135DD">
            <w:pPr>
              <w:spacing w:line="240" w:lineRule="auto"/>
              <w:rPr>
                <w:rFonts w:ascii="Times New Roman" w:eastAsia="Times New Roman" w:hAnsi="Times New Roman" w:cs="Times New Roman"/>
              </w:rPr>
            </w:pPr>
            <w:r>
              <w:rPr>
                <w:rFonts w:ascii="Times New Roman" w:eastAsia="Times New Roman" w:hAnsi="Times New Roman" w:cs="Times New Roman"/>
              </w:rPr>
              <w:t>Can be used to implement SEL as a universal tier 1 intervention to ensure that school-aged youth have access and are connected to appropriate and effective behavioral health services.</w:t>
            </w:r>
          </w:p>
        </w:tc>
        <w:tc>
          <w:tcPr>
            <w:tcW w:w="765" w:type="dxa"/>
          </w:tcPr>
          <w:p w14:paraId="24D35DA8"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960" w:type="dxa"/>
          </w:tcPr>
          <w:p w14:paraId="5BBCB69E"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80" w:type="dxa"/>
          </w:tcPr>
          <w:p w14:paraId="71B6BB43" w14:textId="77777777" w:rsidR="001F50DD" w:rsidRDefault="002135DD">
            <w:pPr>
              <w:spacing w:line="240" w:lineRule="auto"/>
              <w:ind w:left="360"/>
              <w:rPr>
                <w:rFonts w:ascii="Times New Roman" w:eastAsia="Times New Roman" w:hAnsi="Times New Roman" w:cs="Times New Roman"/>
              </w:rPr>
            </w:pPr>
            <w:r>
              <w:rPr>
                <w:rFonts w:ascii="Times New Roman" w:eastAsia="Times New Roman" w:hAnsi="Times New Roman" w:cs="Times New Roman"/>
              </w:rPr>
              <w:t>Competitive</w:t>
            </w:r>
          </w:p>
        </w:tc>
        <w:tc>
          <w:tcPr>
            <w:tcW w:w="870" w:type="dxa"/>
          </w:tcPr>
          <w:p w14:paraId="0A3B00D0" w14:textId="77777777" w:rsidR="001F50DD" w:rsidRDefault="002135DD">
            <w:pPr>
              <w:widowControl w:val="0"/>
              <w:spacing w:line="240" w:lineRule="auto"/>
              <w:rPr>
                <w:rFonts w:ascii="Times New Roman" w:eastAsia="Times New Roman" w:hAnsi="Times New Roman" w:cs="Times New Roman"/>
              </w:rPr>
            </w:pPr>
            <w:hyperlink r:id="rId26">
              <w:r>
                <w:rPr>
                  <w:rFonts w:ascii="Times New Roman" w:eastAsia="Times New Roman" w:hAnsi="Times New Roman" w:cs="Times New Roman"/>
                  <w:color w:val="1155CC"/>
                  <w:u w:val="single"/>
                </w:rPr>
                <w:t>Link</w:t>
              </w:r>
            </w:hyperlink>
          </w:p>
          <w:p w14:paraId="149AEEA0" w14:textId="77777777" w:rsidR="001F50DD" w:rsidRDefault="001F50DD">
            <w:pPr>
              <w:widowControl w:val="0"/>
              <w:spacing w:line="240" w:lineRule="auto"/>
              <w:rPr>
                <w:rFonts w:ascii="Times New Roman" w:eastAsia="Times New Roman" w:hAnsi="Times New Roman" w:cs="Times New Roman"/>
              </w:rPr>
            </w:pPr>
          </w:p>
        </w:tc>
      </w:tr>
      <w:tr w:rsidR="001F50DD" w14:paraId="4E8A0F70" w14:textId="77777777">
        <w:trPr>
          <w:trHeight w:val="440"/>
        </w:trPr>
        <w:tc>
          <w:tcPr>
            <w:tcW w:w="1620" w:type="dxa"/>
          </w:tcPr>
          <w:p w14:paraId="0DC416FD" w14:textId="77777777" w:rsidR="001F50DD" w:rsidRDefault="002135DD">
            <w:r>
              <w:rPr>
                <w:rFonts w:ascii="Times New Roman" w:eastAsia="Times New Roman" w:hAnsi="Times New Roman" w:cs="Times New Roman"/>
                <w:b/>
              </w:rPr>
              <w:t>Trauma-</w:t>
            </w:r>
          </w:p>
          <w:p w14:paraId="36B290F9" w14:textId="77777777" w:rsidR="001F50DD" w:rsidRDefault="002135DD">
            <w:pPr>
              <w:rPr>
                <w:rFonts w:ascii="Times New Roman" w:eastAsia="Times New Roman" w:hAnsi="Times New Roman" w:cs="Times New Roman"/>
                <w:b/>
              </w:rPr>
            </w:pPr>
            <w:r>
              <w:rPr>
                <w:rFonts w:ascii="Times New Roman" w:eastAsia="Times New Roman" w:hAnsi="Times New Roman" w:cs="Times New Roman"/>
                <w:b/>
              </w:rPr>
              <w:t>Informed Support Services Grant Program</w:t>
            </w:r>
            <w:r>
              <w:rPr>
                <w:rFonts w:ascii="Times New Roman" w:eastAsia="Times New Roman" w:hAnsi="Times New Roman" w:cs="Times New Roman"/>
                <w:b/>
                <w:vertAlign w:val="superscript"/>
              </w:rPr>
              <w:footnoteReference w:id="7"/>
            </w:r>
          </w:p>
        </w:tc>
        <w:tc>
          <w:tcPr>
            <w:tcW w:w="4260" w:type="dxa"/>
          </w:tcPr>
          <w:p w14:paraId="7B70689C" w14:textId="77777777" w:rsidR="001F50DD" w:rsidRDefault="002135DD">
            <w:pPr>
              <w:spacing w:line="240" w:lineRule="auto"/>
              <w:ind w:left="90"/>
              <w:rPr>
                <w:rFonts w:ascii="Times New Roman" w:eastAsia="Times New Roman" w:hAnsi="Times New Roman" w:cs="Times New Roman"/>
              </w:rPr>
            </w:pPr>
            <w:r>
              <w:rPr>
                <w:rFonts w:ascii="Times New Roman" w:eastAsia="Times New Roman" w:hAnsi="Times New Roman" w:cs="Times New Roman"/>
              </w:rPr>
              <w:t>The Trauma-Informed Support Services grant program provides funds to increase student access to evidence-based and culturally relevant trauma support services and mental health care by developing innovative initiatives, activities, and programs to link local school systems with local trauma-informed support and mental health systems.</w:t>
            </w:r>
          </w:p>
        </w:tc>
        <w:tc>
          <w:tcPr>
            <w:tcW w:w="3315" w:type="dxa"/>
          </w:tcPr>
          <w:p w14:paraId="226A25CE" w14:textId="77777777" w:rsidR="001F50DD" w:rsidRDefault="002135DD">
            <w:pPr>
              <w:spacing w:line="240" w:lineRule="auto"/>
              <w:rPr>
                <w:rFonts w:ascii="Times New Roman" w:eastAsia="Times New Roman" w:hAnsi="Times New Roman" w:cs="Times New Roman"/>
              </w:rPr>
            </w:pPr>
            <w:r>
              <w:rPr>
                <w:rFonts w:ascii="Times New Roman" w:eastAsia="Times New Roman" w:hAnsi="Times New Roman" w:cs="Times New Roman"/>
              </w:rPr>
              <w:t>Funds can be used to develop and implement a training plan to foster safe and stable learning environments and prevent and mitigate the effects of trauma through social and emotional learning. (See Link 2.)</w:t>
            </w:r>
          </w:p>
        </w:tc>
        <w:tc>
          <w:tcPr>
            <w:tcW w:w="765" w:type="dxa"/>
          </w:tcPr>
          <w:p w14:paraId="5D39107F"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960" w:type="dxa"/>
          </w:tcPr>
          <w:p w14:paraId="713ACEF8" w14:textId="77777777" w:rsidR="001F50DD" w:rsidRDefault="002135DD">
            <w:pPr>
              <w:jc w:val="center"/>
              <w:rPr>
                <w:rFonts w:ascii="Times New Roman" w:eastAsia="Times New Roman" w:hAnsi="Times New Roman" w:cs="Times New Roman"/>
              </w:rPr>
            </w:pPr>
            <w:r>
              <w:rPr>
                <w:rFonts w:ascii="Arial Unicode MS" w:eastAsia="Arial Unicode MS" w:hAnsi="Arial Unicode MS" w:cs="Arial Unicode MS"/>
              </w:rPr>
              <w:t>✅</w:t>
            </w:r>
          </w:p>
        </w:tc>
        <w:tc>
          <w:tcPr>
            <w:tcW w:w="1380" w:type="dxa"/>
          </w:tcPr>
          <w:p w14:paraId="78230371" w14:textId="77777777" w:rsidR="001F50DD" w:rsidRDefault="002135DD">
            <w:pPr>
              <w:spacing w:line="240" w:lineRule="auto"/>
              <w:ind w:left="360"/>
              <w:rPr>
                <w:rFonts w:ascii="Times New Roman" w:eastAsia="Times New Roman" w:hAnsi="Times New Roman" w:cs="Times New Roman"/>
              </w:rPr>
            </w:pPr>
            <w:r>
              <w:rPr>
                <w:rFonts w:ascii="Times New Roman" w:eastAsia="Times New Roman" w:hAnsi="Times New Roman" w:cs="Times New Roman"/>
              </w:rPr>
              <w:t>Competitive</w:t>
            </w:r>
          </w:p>
        </w:tc>
        <w:tc>
          <w:tcPr>
            <w:tcW w:w="870" w:type="dxa"/>
          </w:tcPr>
          <w:p w14:paraId="7247EFEC" w14:textId="77777777" w:rsidR="001F50DD" w:rsidRDefault="002135DD">
            <w:pPr>
              <w:widowControl w:val="0"/>
              <w:spacing w:line="240" w:lineRule="auto"/>
              <w:rPr>
                <w:rFonts w:ascii="Times New Roman" w:eastAsia="Times New Roman" w:hAnsi="Times New Roman" w:cs="Times New Roman"/>
              </w:rPr>
            </w:pPr>
            <w:hyperlink r:id="rId27">
              <w:r>
                <w:rPr>
                  <w:rFonts w:ascii="Times New Roman" w:eastAsia="Times New Roman" w:hAnsi="Times New Roman" w:cs="Times New Roman"/>
                  <w:color w:val="1155CC"/>
                  <w:u w:val="single"/>
                </w:rPr>
                <w:t>Link 1</w:t>
              </w:r>
            </w:hyperlink>
          </w:p>
          <w:p w14:paraId="4CCC23E6" w14:textId="77777777" w:rsidR="001F50DD" w:rsidRDefault="002135DD">
            <w:pPr>
              <w:widowControl w:val="0"/>
              <w:spacing w:line="240" w:lineRule="auto"/>
              <w:rPr>
                <w:rFonts w:ascii="Times New Roman" w:eastAsia="Times New Roman" w:hAnsi="Times New Roman" w:cs="Times New Roman"/>
              </w:rPr>
            </w:pPr>
            <w:hyperlink r:id="rId28">
              <w:r>
                <w:rPr>
                  <w:rFonts w:ascii="Times New Roman" w:eastAsia="Times New Roman" w:hAnsi="Times New Roman" w:cs="Times New Roman"/>
                  <w:color w:val="1155CC"/>
                  <w:u w:val="single"/>
                </w:rPr>
                <w:t>Link 2</w:t>
              </w:r>
            </w:hyperlink>
          </w:p>
        </w:tc>
      </w:tr>
    </w:tbl>
    <w:p w14:paraId="217F1035" w14:textId="77777777" w:rsidR="001F50DD" w:rsidRDefault="001F50DD">
      <w:pPr>
        <w:rPr>
          <w:rFonts w:ascii="Times New Roman" w:eastAsia="Times New Roman" w:hAnsi="Times New Roman" w:cs="Times New Roman"/>
        </w:rPr>
      </w:pPr>
    </w:p>
    <w:sectPr w:rsidR="001F50DD">
      <w:headerReference w:type="even" r:id="rId29"/>
      <w:headerReference w:type="default" r:id="rId30"/>
      <w:footerReference w:type="even" r:id="rId31"/>
      <w:footerReference w:type="default" r:id="rId32"/>
      <w:headerReference w:type="first" r:id="rId33"/>
      <w:footerReference w:type="first" r:id="rId34"/>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C771" w14:textId="77777777" w:rsidR="00155211" w:rsidRDefault="00155211">
      <w:pPr>
        <w:spacing w:line="240" w:lineRule="auto"/>
      </w:pPr>
      <w:r>
        <w:separator/>
      </w:r>
    </w:p>
  </w:endnote>
  <w:endnote w:type="continuationSeparator" w:id="0">
    <w:p w14:paraId="33ED1B7C" w14:textId="77777777" w:rsidR="00155211" w:rsidRDefault="00155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3E22" w14:textId="77777777" w:rsidR="00066BD4" w:rsidRDefault="00066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BC0D" w14:textId="77777777" w:rsidR="001F50DD" w:rsidRDefault="002135DD">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0B4A" w14:textId="77777777" w:rsidR="001F50DD" w:rsidRDefault="002135DD">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540A" w14:textId="77777777" w:rsidR="00155211" w:rsidRDefault="00155211">
      <w:pPr>
        <w:spacing w:line="240" w:lineRule="auto"/>
      </w:pPr>
      <w:r>
        <w:separator/>
      </w:r>
    </w:p>
  </w:footnote>
  <w:footnote w:type="continuationSeparator" w:id="0">
    <w:p w14:paraId="649543C2" w14:textId="77777777" w:rsidR="00155211" w:rsidRDefault="00155211">
      <w:pPr>
        <w:spacing w:line="240" w:lineRule="auto"/>
      </w:pPr>
      <w:r>
        <w:continuationSeparator/>
      </w:r>
    </w:p>
  </w:footnote>
  <w:footnote w:id="1">
    <w:p w14:paraId="1319D20A" w14:textId="77777777" w:rsidR="001F50DD" w:rsidRDefault="002135D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Formula grants, also commonly referred to as block grants, are made directly to states. Often state agencies are then able to distribute these funds to local agencies or programs.</w:t>
      </w:r>
    </w:p>
  </w:footnote>
  <w:footnote w:id="2">
    <w:p w14:paraId="609B7504" w14:textId="77777777" w:rsidR="001F50DD" w:rsidRDefault="002135D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sz w:val="20"/>
          <w:szCs w:val="20"/>
        </w:rPr>
        <w:t>Eligible entities for the SEED program include institutions of higher education; national nonprofit entities with a demonstrated record of effectiveness; partnerships consisting of one or more of such entities and a for-profit entity; or the Bureau of Indian Education.</w:t>
      </w:r>
    </w:p>
  </w:footnote>
  <w:footnote w:id="3">
    <w:p w14:paraId="46E4FAD0" w14:textId="77777777" w:rsidR="001F50DD" w:rsidRDefault="002135D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Competitive grants are awarded through a competitive application process and are subject to selection by the granting agency, which can select proposals that align with their priorities, goals, and funding availability.</w:t>
      </w:r>
    </w:p>
  </w:footnote>
  <w:footnote w:id="4">
    <w:p w14:paraId="5976C7AA" w14:textId="77777777" w:rsidR="001F50DD" w:rsidRDefault="002135DD">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 competitive priority means that </w:t>
      </w:r>
      <w:r>
        <w:rPr>
          <w:rFonts w:ascii="Times New Roman" w:eastAsia="Times New Roman" w:hAnsi="Times New Roman" w:cs="Times New Roman"/>
          <w:color w:val="030A13"/>
          <w:sz w:val="20"/>
          <w:szCs w:val="20"/>
          <w:highlight w:val="white"/>
        </w:rPr>
        <w:t>applications that successfully address some or all of the competitive preference priorities in the project design may receive additional points or preference during the review process.</w:t>
      </w:r>
    </w:p>
  </w:footnote>
  <w:footnote w:id="5">
    <w:p w14:paraId="3CD6B740" w14:textId="77777777" w:rsidR="001F50DD" w:rsidRDefault="002135DD">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An absolute priority means only applications that address the absolute priority in the project design will be considered for funding.</w:t>
      </w:r>
    </w:p>
    <w:p w14:paraId="1440DAB5" w14:textId="77777777" w:rsidR="001F50DD" w:rsidRDefault="001F50DD">
      <w:pPr>
        <w:spacing w:line="240" w:lineRule="auto"/>
        <w:rPr>
          <w:sz w:val="20"/>
          <w:szCs w:val="20"/>
        </w:rPr>
      </w:pPr>
    </w:p>
  </w:footnote>
  <w:footnote w:id="6">
    <w:p w14:paraId="17131E09" w14:textId="77777777" w:rsidR="001F50DD" w:rsidRDefault="002135D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As of this writing, funding under the Bipartisan Safer Communities Act runs through Fiscal Year 2025.</w:t>
      </w:r>
    </w:p>
  </w:footnote>
  <w:footnote w:id="7">
    <w:p w14:paraId="5373EF4C" w14:textId="77777777" w:rsidR="001F50DD" w:rsidRDefault="002135DD">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Funding for the Trauma-Informed Support Services Grant program is currently provided through the Bipartisan Safer Communities Act, which as of this writing is funded through FY2025.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2F23" w14:textId="77777777" w:rsidR="00066BD4" w:rsidRDefault="00066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94C6" w14:textId="77777777" w:rsidR="001F50DD" w:rsidRDefault="001F50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82A5" w14:textId="77777777" w:rsidR="001F50DD" w:rsidRDefault="002135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Federal Funds that can be leveraged to Support Academic, Social, and Emotional Learning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0DD"/>
    <w:rsid w:val="00066BD4"/>
    <w:rsid w:val="000B035B"/>
    <w:rsid w:val="00155211"/>
    <w:rsid w:val="001F50DD"/>
    <w:rsid w:val="002135DD"/>
    <w:rsid w:val="0030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CC800"/>
  <w15:docId w15:val="{1D9B5DCF-9BD5-4DDF-902C-6575404C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66BD4"/>
    <w:pPr>
      <w:tabs>
        <w:tab w:val="center" w:pos="4680"/>
        <w:tab w:val="right" w:pos="9360"/>
      </w:tabs>
      <w:spacing w:line="240" w:lineRule="auto"/>
    </w:pPr>
  </w:style>
  <w:style w:type="character" w:customStyle="1" w:styleId="HeaderChar">
    <w:name w:val="Header Char"/>
    <w:basedOn w:val="DefaultParagraphFont"/>
    <w:link w:val="Header"/>
    <w:uiPriority w:val="99"/>
    <w:rsid w:val="00066BD4"/>
  </w:style>
  <w:style w:type="paragraph" w:styleId="Footer">
    <w:name w:val="footer"/>
    <w:basedOn w:val="Normal"/>
    <w:link w:val="FooterChar"/>
    <w:uiPriority w:val="99"/>
    <w:unhideWhenUsed/>
    <w:rsid w:val="00066BD4"/>
    <w:pPr>
      <w:tabs>
        <w:tab w:val="center" w:pos="4680"/>
        <w:tab w:val="right" w:pos="9360"/>
      </w:tabs>
      <w:spacing w:line="240" w:lineRule="auto"/>
    </w:pPr>
  </w:style>
  <w:style w:type="character" w:customStyle="1" w:styleId="FooterChar">
    <w:name w:val="Footer Char"/>
    <w:basedOn w:val="DefaultParagraphFont"/>
    <w:link w:val="Footer"/>
    <w:uiPriority w:val="99"/>
    <w:rsid w:val="0006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ese.ed.gov/offices/office-of-formula-grants/safe-supportive-schools/mental-health-service-professional-demonstration-grant-program/" TargetMode="External"/><Relationship Id="rId18" Type="http://schemas.openxmlformats.org/officeDocument/2006/relationships/hyperlink" Target="https://oese.ed.gov/offices/office-of-formula-grants/safe-supportive-schools/school-climate-transformation-grant-state-educational-agency-grants-program/" TargetMode="External"/><Relationship Id="rId26" Type="http://schemas.openxmlformats.org/officeDocument/2006/relationships/hyperlink" Target="https://www.samhsa.gov/school-campus-health/project-aware" TargetMode="External"/><Relationship Id="rId3" Type="http://schemas.openxmlformats.org/officeDocument/2006/relationships/webSettings" Target="webSettings.xml"/><Relationship Id="rId21" Type="http://schemas.openxmlformats.org/officeDocument/2006/relationships/hyperlink" Target="https://www.federalregister.gov/documents/2024/05/06/2024-09796/applications-for-new-awards-education-innovation-and-research-eir-program-mid-phase-grants" TargetMode="External"/><Relationship Id="rId34" Type="http://schemas.openxmlformats.org/officeDocument/2006/relationships/footer" Target="footer3.xml"/><Relationship Id="rId7" Type="http://schemas.openxmlformats.org/officeDocument/2006/relationships/hyperlink" Target="https://oese.ed.gov/offices/office-of-formula-grants/school-support-and-accountability/instruction-state-grants-title-ii-part-a/" TargetMode="External"/><Relationship Id="rId12" Type="http://schemas.openxmlformats.org/officeDocument/2006/relationships/hyperlink" Target="https://oese.ed.gov/offices/office-of-formula-grants/school-support-and-accountability/21st-century-community-learning-centers/" TargetMode="External"/><Relationship Id="rId17" Type="http://schemas.openxmlformats.org/officeDocument/2006/relationships/hyperlink" Target="https://oese.ed.gov/offices/office-of-formula-grants/safe-supportive-schools/project-prevent-grant-program/" TargetMode="External"/><Relationship Id="rId25" Type="http://schemas.openxmlformats.org/officeDocument/2006/relationships/hyperlink" Target="https://www2.ed.gov/about/offices/list/ovae/pi/cte/vso.html"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federalregister.gov/documents/2023/06/07/2023-12145/applications-for-new-awards-full-service-community-schools-program" TargetMode="External"/><Relationship Id="rId20" Type="http://schemas.openxmlformats.org/officeDocument/2006/relationships/hyperlink" Target="https://www.federalregister.gov/documents/2024/05/06/2024-09797/applications-for-new-awards-education-innovation-and-research-eir-program-early-phase-grants"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oese.ed.gov/offices/office-of-formula-grants/school-support-and-accountability/title-i-part-a-program/" TargetMode="External"/><Relationship Id="rId11" Type="http://schemas.openxmlformats.org/officeDocument/2006/relationships/hyperlink" Target="https://oese.ed.gov/offices/office-of-formula-grants/safe-supportive-schools/student-support-and-academic-enrichment-program/" TargetMode="External"/><Relationship Id="rId24" Type="http://schemas.openxmlformats.org/officeDocument/2006/relationships/hyperlink" Target="https://www2.ed.gov/programs/afhce/index.html"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oese.ed.gov/offices/office-of-discretionary-grants-support-services/school-choice-improvement-programs/full-service-community-schools-program-fscs/" TargetMode="External"/><Relationship Id="rId23" Type="http://schemas.openxmlformats.org/officeDocument/2006/relationships/hyperlink" Target="https://oese.ed.gov/offices/office-of-discretionary-grants-support-services/effective-educator-development-programs/teacher-quality-partnership/" TargetMode="External"/><Relationship Id="rId28" Type="http://schemas.openxmlformats.org/officeDocument/2006/relationships/hyperlink" Target="https://www.samhsa.gov/sites/default/files/grants/pdf/fy-2023-tiss-nofo.pdf" TargetMode="External"/><Relationship Id="rId36" Type="http://schemas.openxmlformats.org/officeDocument/2006/relationships/theme" Target="theme/theme1.xml"/><Relationship Id="rId10" Type="http://schemas.openxmlformats.org/officeDocument/2006/relationships/hyperlink" Target="https://www2.ed.gov/policy/elsec/leg/essa/essatitleiiiguidenglishlearners92016.pdf" TargetMode="External"/><Relationship Id="rId19" Type="http://schemas.openxmlformats.org/officeDocument/2006/relationships/hyperlink" Target="https://oese.ed.gov/offices/office-of-discretionary-grants-support-services/innovation-early-learning/education-innovation-and-research-eir/"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oese.ed.gov/offices/office-of-formula-grants/school-support-and-accountability/english-language-acquisition-state-grants/" TargetMode="External"/><Relationship Id="rId14" Type="http://schemas.openxmlformats.org/officeDocument/2006/relationships/hyperlink" Target="https://oese.ed.gov/offices/office-of-formula-grants/safe-supportive-schools/school-based-mental-health-services-grant-program/" TargetMode="External"/><Relationship Id="rId22" Type="http://schemas.openxmlformats.org/officeDocument/2006/relationships/hyperlink" Target="https://oese.ed.gov/files/2023/10/23-0083.BSCA-FAQs-approved-April-Final-Updated-October-2023.pdf" TargetMode="External"/><Relationship Id="rId27" Type="http://schemas.openxmlformats.org/officeDocument/2006/relationships/hyperlink" Target="https://www.samhsa.gov/school-campus-health/trauma-support-services-mental-health-for-children"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oese.ed.gov/offices/office-of-discretionary-grants-support-services/effective-educator-development-programs/supporting-effective-educator-development-gra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2231</Words>
  <Characters>12718</Characters>
  <Application>Microsoft Office Word</Application>
  <DocSecurity>0</DocSecurity>
  <Lines>105</Lines>
  <Paragraphs>29</Paragraphs>
  <ScaleCrop>false</ScaleCrop>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Cross</dc:creator>
  <cp:lastModifiedBy>Claire Schu</cp:lastModifiedBy>
  <cp:revision>2</cp:revision>
  <dcterms:created xsi:type="dcterms:W3CDTF">2025-02-03T21:09:00Z</dcterms:created>
  <dcterms:modified xsi:type="dcterms:W3CDTF">2025-02-03T21:09:00Z</dcterms:modified>
</cp:coreProperties>
</file>